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C69C4" w14:textId="77777777" w:rsidR="00081D96" w:rsidRPr="00081D96" w:rsidRDefault="00081D96" w:rsidP="00081D96">
      <w:pPr>
        <w:rPr>
          <w:b/>
          <w:bCs/>
        </w:rPr>
      </w:pPr>
      <w:r w:rsidRPr="00081D96">
        <w:rPr>
          <w:b/>
          <w:bCs/>
        </w:rPr>
        <w:t>Implementation Plan: Centralized Quadrant Assignment System</w:t>
      </w:r>
    </w:p>
    <w:p w14:paraId="0E324D0A" w14:textId="77777777" w:rsidR="00081D96" w:rsidRPr="00081D96" w:rsidRDefault="00081D96" w:rsidP="00081D96">
      <w:pPr>
        <w:rPr>
          <w:b/>
          <w:bCs/>
        </w:rPr>
      </w:pPr>
      <w:r w:rsidRPr="00081D96">
        <w:rPr>
          <w:b/>
          <w:bCs/>
        </w:rPr>
        <w:t>Overview</w:t>
      </w:r>
    </w:p>
    <w:p w14:paraId="3AC22969" w14:textId="77777777" w:rsidR="00081D96" w:rsidRPr="00081D96" w:rsidRDefault="00081D96" w:rsidP="00081D96">
      <w:r w:rsidRPr="00081D96">
        <w:t>This document outlines the plan to implement a centralized system for managing quadrant assignments in the Apostles Model visualization tool. The goal is to ensure consistency between the visualization and reporting components when users interact with the chart by:</w:t>
      </w:r>
    </w:p>
    <w:p w14:paraId="45BB8480" w14:textId="77777777" w:rsidR="00081D96" w:rsidRPr="00081D96" w:rsidRDefault="00081D96" w:rsidP="00081D96">
      <w:pPr>
        <w:numPr>
          <w:ilvl w:val="0"/>
          <w:numId w:val="1"/>
        </w:numPr>
      </w:pPr>
      <w:r w:rsidRPr="00081D96">
        <w:t>Moving the midpoint position</w:t>
      </w:r>
    </w:p>
    <w:p w14:paraId="45D6F6CB" w14:textId="77777777" w:rsidR="00081D96" w:rsidRPr="00081D96" w:rsidRDefault="00081D96" w:rsidP="00081D96">
      <w:pPr>
        <w:numPr>
          <w:ilvl w:val="0"/>
          <w:numId w:val="1"/>
        </w:numPr>
      </w:pPr>
      <w:r w:rsidRPr="00081D96">
        <w:t>Manually reassigning points on boundary lines</w:t>
      </w:r>
    </w:p>
    <w:p w14:paraId="62C6B0D8" w14:textId="77777777" w:rsidR="00081D96" w:rsidRPr="00081D96" w:rsidRDefault="00081D96" w:rsidP="00081D96">
      <w:pPr>
        <w:numPr>
          <w:ilvl w:val="0"/>
          <w:numId w:val="1"/>
        </w:numPr>
      </w:pPr>
      <w:r w:rsidRPr="00081D96">
        <w:t>Changing other visualization parameters</w:t>
      </w:r>
    </w:p>
    <w:p w14:paraId="7B7B4C45" w14:textId="77777777" w:rsidR="00081D96" w:rsidRPr="00081D96" w:rsidRDefault="00081D96" w:rsidP="00081D96">
      <w:pPr>
        <w:rPr>
          <w:b/>
          <w:bCs/>
        </w:rPr>
      </w:pPr>
      <w:r w:rsidRPr="00081D96">
        <w:rPr>
          <w:b/>
          <w:bCs/>
        </w:rPr>
        <w:t>Current Limitations</w:t>
      </w:r>
    </w:p>
    <w:p w14:paraId="4429F24B" w14:textId="77777777" w:rsidR="00081D96" w:rsidRPr="00081D96" w:rsidRDefault="00081D96" w:rsidP="00081D96">
      <w:pPr>
        <w:numPr>
          <w:ilvl w:val="0"/>
          <w:numId w:val="2"/>
        </w:numPr>
      </w:pPr>
      <w:proofErr w:type="spellStart"/>
      <w:r w:rsidRPr="00081D96">
        <w:t>MidpointContext</w:t>
      </w:r>
      <w:proofErr w:type="spellEnd"/>
      <w:r w:rsidRPr="00081D96">
        <w:t xml:space="preserve"> only stores position without quadrant assignment logic</w:t>
      </w:r>
    </w:p>
    <w:p w14:paraId="18411192" w14:textId="77777777" w:rsidR="00081D96" w:rsidRPr="00081D96" w:rsidRDefault="00081D96" w:rsidP="00081D96">
      <w:pPr>
        <w:numPr>
          <w:ilvl w:val="0"/>
          <w:numId w:val="2"/>
        </w:numPr>
      </w:pPr>
      <w:r w:rsidRPr="00081D96">
        <w:t>Quadrant assignments are calculated independently by different components</w:t>
      </w:r>
    </w:p>
    <w:p w14:paraId="134BDE37" w14:textId="77777777" w:rsidR="00081D96" w:rsidRPr="00081D96" w:rsidRDefault="00081D96" w:rsidP="00081D96">
      <w:pPr>
        <w:numPr>
          <w:ilvl w:val="0"/>
          <w:numId w:val="2"/>
        </w:numPr>
      </w:pPr>
      <w:r w:rsidRPr="00081D96">
        <w:t xml:space="preserve">Manual reassignments only exist in local state in </w:t>
      </w:r>
      <w:proofErr w:type="spellStart"/>
      <w:r w:rsidRPr="00081D96">
        <w:t>DataPointRenderer</w:t>
      </w:r>
      <w:proofErr w:type="spellEnd"/>
    </w:p>
    <w:p w14:paraId="6098A517" w14:textId="77777777" w:rsidR="00081D96" w:rsidRPr="00081D96" w:rsidRDefault="00081D96" w:rsidP="00081D96">
      <w:pPr>
        <w:numPr>
          <w:ilvl w:val="0"/>
          <w:numId w:val="2"/>
        </w:numPr>
      </w:pPr>
      <w:r w:rsidRPr="00081D96">
        <w:t>Visualization and reporting can show inconsistent quadrant assignments</w:t>
      </w:r>
    </w:p>
    <w:p w14:paraId="5B025DA3" w14:textId="77777777" w:rsidR="00081D96" w:rsidRPr="00081D96" w:rsidRDefault="00081D96" w:rsidP="00081D96">
      <w:pPr>
        <w:numPr>
          <w:ilvl w:val="0"/>
          <w:numId w:val="2"/>
        </w:numPr>
      </w:pPr>
      <w:r w:rsidRPr="00081D96">
        <w:t>No persistence of manual quadrant assignments</w:t>
      </w:r>
    </w:p>
    <w:p w14:paraId="04CF20D7" w14:textId="77777777" w:rsidR="00081D96" w:rsidRPr="00081D96" w:rsidRDefault="00081D96" w:rsidP="00081D96">
      <w:pPr>
        <w:rPr>
          <w:b/>
          <w:bCs/>
        </w:rPr>
      </w:pPr>
      <w:r w:rsidRPr="00081D96">
        <w:rPr>
          <w:b/>
          <w:bCs/>
        </w:rPr>
        <w:t>Proposed Solution</w:t>
      </w:r>
    </w:p>
    <w:p w14:paraId="192B9DCB" w14:textId="77777777" w:rsidR="00081D96" w:rsidRPr="00081D96" w:rsidRDefault="00081D96" w:rsidP="00081D96">
      <w:r w:rsidRPr="00081D96">
        <w:t xml:space="preserve">Create a comprehensive </w:t>
      </w:r>
      <w:proofErr w:type="spellStart"/>
      <w:r w:rsidRPr="00081D96">
        <w:t>QuadrantAssignmentContext</w:t>
      </w:r>
      <w:proofErr w:type="spellEnd"/>
      <w:r w:rsidRPr="00081D96">
        <w:t xml:space="preserve"> that will:</w:t>
      </w:r>
    </w:p>
    <w:p w14:paraId="39512560" w14:textId="77777777" w:rsidR="00081D96" w:rsidRPr="00081D96" w:rsidRDefault="00081D96" w:rsidP="00081D96">
      <w:pPr>
        <w:numPr>
          <w:ilvl w:val="0"/>
          <w:numId w:val="3"/>
        </w:numPr>
      </w:pPr>
      <w:r w:rsidRPr="00081D96">
        <w:t>Store the midpoint position</w:t>
      </w:r>
    </w:p>
    <w:p w14:paraId="7913A94A" w14:textId="77777777" w:rsidR="00081D96" w:rsidRPr="00081D96" w:rsidRDefault="00081D96" w:rsidP="00081D96">
      <w:pPr>
        <w:numPr>
          <w:ilvl w:val="0"/>
          <w:numId w:val="3"/>
        </w:numPr>
      </w:pPr>
      <w:r w:rsidRPr="00081D96">
        <w:t>Calculate and provide quadrant assignments for all data points</w:t>
      </w:r>
    </w:p>
    <w:p w14:paraId="02527EC9" w14:textId="77777777" w:rsidR="00081D96" w:rsidRPr="00081D96" w:rsidRDefault="00081D96" w:rsidP="00081D96">
      <w:pPr>
        <w:numPr>
          <w:ilvl w:val="0"/>
          <w:numId w:val="3"/>
        </w:numPr>
      </w:pPr>
      <w:r w:rsidRPr="00081D96">
        <w:t>Store manual reassignments when users change boundary points</w:t>
      </w:r>
    </w:p>
    <w:p w14:paraId="31D6A516" w14:textId="77777777" w:rsidR="00081D96" w:rsidRPr="00081D96" w:rsidRDefault="00081D96" w:rsidP="00081D96">
      <w:pPr>
        <w:numPr>
          <w:ilvl w:val="0"/>
          <w:numId w:val="3"/>
        </w:numPr>
      </w:pPr>
      <w:r w:rsidRPr="00081D96">
        <w:t>Provide distribution statistics based on current assignments</w:t>
      </w:r>
    </w:p>
    <w:p w14:paraId="1287FC16" w14:textId="77777777" w:rsidR="00081D96" w:rsidRPr="00081D96" w:rsidRDefault="00081D96" w:rsidP="00081D96">
      <w:pPr>
        <w:numPr>
          <w:ilvl w:val="0"/>
          <w:numId w:val="3"/>
        </w:numPr>
      </w:pPr>
      <w:r w:rsidRPr="00081D96">
        <w:t>Act as a single source of truth for all components</w:t>
      </w:r>
    </w:p>
    <w:p w14:paraId="05DEA03A" w14:textId="77777777" w:rsidR="00081D96" w:rsidRPr="00081D96" w:rsidRDefault="00081D96" w:rsidP="00081D96">
      <w:pPr>
        <w:rPr>
          <w:b/>
          <w:bCs/>
        </w:rPr>
      </w:pPr>
      <w:r w:rsidRPr="00081D96">
        <w:rPr>
          <w:b/>
          <w:bCs/>
        </w:rPr>
        <w:t>Implementation Steps</w:t>
      </w:r>
    </w:p>
    <w:p w14:paraId="48B58871" w14:textId="77777777" w:rsidR="00081D96" w:rsidRPr="00081D96" w:rsidRDefault="00081D96" w:rsidP="00081D96">
      <w:pPr>
        <w:rPr>
          <w:b/>
          <w:bCs/>
        </w:rPr>
      </w:pPr>
      <w:r w:rsidRPr="00081D96">
        <w:rPr>
          <w:b/>
          <w:bCs/>
        </w:rPr>
        <w:t xml:space="preserve">Step 1: Create </w:t>
      </w:r>
      <w:proofErr w:type="spellStart"/>
      <w:r w:rsidRPr="00081D96">
        <w:rPr>
          <w:b/>
          <w:bCs/>
        </w:rPr>
        <w:t>QuadrantAssignmentContext</w:t>
      </w:r>
      <w:proofErr w:type="spellEnd"/>
    </w:p>
    <w:p w14:paraId="774039CE" w14:textId="77777777" w:rsidR="00081D96" w:rsidRPr="00081D96" w:rsidRDefault="00081D96" w:rsidP="00081D96">
      <w:r w:rsidRPr="00081D96">
        <w:t>Create a new context file: src/components/visualization/context/QuadrantAssignmentContext.tsx</w:t>
      </w:r>
    </w:p>
    <w:p w14:paraId="75F67D1B" w14:textId="77777777" w:rsidR="00081D96" w:rsidRPr="00081D96" w:rsidRDefault="00081D96" w:rsidP="00081D96">
      <w:r w:rsidRPr="00081D96">
        <w:t>This context will provide:</w:t>
      </w:r>
    </w:p>
    <w:p w14:paraId="0C2A7CF5" w14:textId="77777777" w:rsidR="00081D96" w:rsidRPr="00081D96" w:rsidRDefault="00081D96" w:rsidP="00081D96">
      <w:pPr>
        <w:numPr>
          <w:ilvl w:val="0"/>
          <w:numId w:val="4"/>
        </w:numPr>
      </w:pPr>
      <w:r w:rsidRPr="00081D96">
        <w:t>Midpoint state management</w:t>
      </w:r>
    </w:p>
    <w:p w14:paraId="55087821" w14:textId="77777777" w:rsidR="00081D96" w:rsidRPr="00081D96" w:rsidRDefault="00081D96" w:rsidP="00081D96">
      <w:pPr>
        <w:numPr>
          <w:ilvl w:val="0"/>
          <w:numId w:val="4"/>
        </w:numPr>
      </w:pPr>
      <w:r w:rsidRPr="00081D96">
        <w:t>Manual assignment tracking</w:t>
      </w:r>
    </w:p>
    <w:p w14:paraId="40F55B83" w14:textId="77777777" w:rsidR="00081D96" w:rsidRPr="00081D96" w:rsidRDefault="00081D96" w:rsidP="00081D96">
      <w:pPr>
        <w:numPr>
          <w:ilvl w:val="0"/>
          <w:numId w:val="4"/>
        </w:numPr>
      </w:pPr>
      <w:r w:rsidRPr="00081D96">
        <w:t>Quadrant determination functions</w:t>
      </w:r>
    </w:p>
    <w:p w14:paraId="1FC47C0C" w14:textId="77777777" w:rsidR="00081D96" w:rsidRPr="00081D96" w:rsidRDefault="00081D96" w:rsidP="00081D96">
      <w:pPr>
        <w:numPr>
          <w:ilvl w:val="0"/>
          <w:numId w:val="4"/>
        </w:numPr>
      </w:pPr>
      <w:r w:rsidRPr="00081D96">
        <w:t>Distribution statistics</w:t>
      </w:r>
    </w:p>
    <w:p w14:paraId="4FD78876" w14:textId="77777777" w:rsidR="00081D96" w:rsidRPr="00081D96" w:rsidRDefault="00081D96" w:rsidP="00081D96">
      <w:pPr>
        <w:rPr>
          <w:b/>
          <w:bCs/>
        </w:rPr>
      </w:pPr>
      <w:r w:rsidRPr="00081D96">
        <w:rPr>
          <w:b/>
          <w:bCs/>
        </w:rPr>
        <w:t xml:space="preserve">Step 2: Integrate with </w:t>
      </w:r>
      <w:proofErr w:type="spellStart"/>
      <w:r w:rsidRPr="00081D96">
        <w:rPr>
          <w:b/>
          <w:bCs/>
        </w:rPr>
        <w:t>App.tsx</w:t>
      </w:r>
      <w:proofErr w:type="spellEnd"/>
    </w:p>
    <w:p w14:paraId="1A9B083C" w14:textId="77777777" w:rsidR="00081D96" w:rsidRPr="00081D96" w:rsidRDefault="00081D96" w:rsidP="00081D96">
      <w:r w:rsidRPr="00081D96">
        <w:lastRenderedPageBreak/>
        <w:t xml:space="preserve">Add the </w:t>
      </w:r>
      <w:proofErr w:type="spellStart"/>
      <w:r w:rsidRPr="00081D96">
        <w:t>QuadrantAssignmentProvider</w:t>
      </w:r>
      <w:proofErr w:type="spellEnd"/>
      <w:r w:rsidRPr="00081D96">
        <w:t xml:space="preserve"> to </w:t>
      </w:r>
      <w:proofErr w:type="spellStart"/>
      <w:r w:rsidRPr="00081D96">
        <w:t>App.tsx</w:t>
      </w:r>
      <w:proofErr w:type="spellEnd"/>
      <w:r w:rsidRPr="00081D96">
        <w:t>, wrapping the visualization and reporting components:</w:t>
      </w:r>
    </w:p>
    <w:p w14:paraId="4897B8D1" w14:textId="77777777" w:rsidR="00081D96" w:rsidRPr="00081D96" w:rsidRDefault="00081D96" w:rsidP="00081D96">
      <w:proofErr w:type="spellStart"/>
      <w:r w:rsidRPr="00081D96">
        <w:t>tsx</w:t>
      </w:r>
      <w:proofErr w:type="spellEnd"/>
    </w:p>
    <w:p w14:paraId="7F9A0DA7" w14:textId="77777777" w:rsidR="00081D96" w:rsidRPr="00081D96" w:rsidRDefault="00081D96" w:rsidP="00081D96">
      <w:r w:rsidRPr="00081D96">
        <w:t>&lt;</w:t>
      </w:r>
      <w:proofErr w:type="spellStart"/>
      <w:r w:rsidRPr="00081D96">
        <w:t>QuadrantAssignmentProvider</w:t>
      </w:r>
      <w:proofErr w:type="spellEnd"/>
      <w:r w:rsidRPr="00081D96">
        <w:t xml:space="preserve"> </w:t>
      </w:r>
    </w:p>
    <w:p w14:paraId="540AB6CE" w14:textId="77777777" w:rsidR="00081D96" w:rsidRPr="00081D96" w:rsidRDefault="00081D96" w:rsidP="00081D96">
      <w:r w:rsidRPr="00081D96">
        <w:t xml:space="preserve">  data={data}</w:t>
      </w:r>
    </w:p>
    <w:p w14:paraId="3A13CF7C" w14:textId="77777777" w:rsidR="00081D96" w:rsidRPr="00081D96" w:rsidRDefault="00081D96" w:rsidP="00081D96">
      <w:r w:rsidRPr="00081D96">
        <w:t xml:space="preserve">  </w:t>
      </w:r>
      <w:proofErr w:type="spellStart"/>
      <w:r w:rsidRPr="00081D96">
        <w:t>satisfactionScale</w:t>
      </w:r>
      <w:proofErr w:type="spellEnd"/>
      <w:r w:rsidRPr="00081D96">
        <w:t>={</w:t>
      </w:r>
      <w:proofErr w:type="spellStart"/>
      <w:r w:rsidRPr="00081D96">
        <w:t>scales.satisfactionScale</w:t>
      </w:r>
      <w:proofErr w:type="spellEnd"/>
      <w:r w:rsidRPr="00081D96">
        <w:t>}</w:t>
      </w:r>
    </w:p>
    <w:p w14:paraId="250B88F0" w14:textId="77777777" w:rsidR="00081D96" w:rsidRPr="00081D96" w:rsidRDefault="00081D96" w:rsidP="00081D96">
      <w:r w:rsidRPr="00081D96">
        <w:t xml:space="preserve">  </w:t>
      </w:r>
      <w:proofErr w:type="spellStart"/>
      <w:r w:rsidRPr="00081D96">
        <w:t>loyaltyScale</w:t>
      </w:r>
      <w:proofErr w:type="spellEnd"/>
      <w:r w:rsidRPr="00081D96">
        <w:t>={</w:t>
      </w:r>
      <w:proofErr w:type="spellStart"/>
      <w:r w:rsidRPr="00081D96">
        <w:t>scales.loyaltyScale</w:t>
      </w:r>
      <w:proofErr w:type="spellEnd"/>
      <w:r w:rsidRPr="00081D96">
        <w:t>}</w:t>
      </w:r>
    </w:p>
    <w:p w14:paraId="46911E34" w14:textId="77777777" w:rsidR="00081D96" w:rsidRPr="00081D96" w:rsidRDefault="00081D96" w:rsidP="00081D96">
      <w:r w:rsidRPr="00081D96">
        <w:t>&gt;</w:t>
      </w:r>
    </w:p>
    <w:p w14:paraId="48408183" w14:textId="77777777" w:rsidR="00081D96" w:rsidRPr="00081D96" w:rsidRDefault="00081D96" w:rsidP="00081D96">
      <w:r w:rsidRPr="00081D96">
        <w:t xml:space="preserve">  {</w:t>
      </w:r>
      <w:r w:rsidRPr="00081D96">
        <w:rPr>
          <w:i/>
          <w:iCs/>
        </w:rPr>
        <w:t>/* Visualization and Reporting Components */</w:t>
      </w:r>
      <w:r w:rsidRPr="00081D96">
        <w:t>}</w:t>
      </w:r>
    </w:p>
    <w:p w14:paraId="6DB56983" w14:textId="77777777" w:rsidR="00081D96" w:rsidRPr="00081D96" w:rsidRDefault="00081D96" w:rsidP="00081D96">
      <w:r w:rsidRPr="00081D96">
        <w:t>&lt;/</w:t>
      </w:r>
      <w:proofErr w:type="spellStart"/>
      <w:r w:rsidRPr="00081D96">
        <w:t>QuadrantAssignmentProvider</w:t>
      </w:r>
      <w:proofErr w:type="spellEnd"/>
      <w:r w:rsidRPr="00081D96">
        <w:t>&gt;</w:t>
      </w:r>
    </w:p>
    <w:p w14:paraId="639DA825" w14:textId="77777777" w:rsidR="00081D96" w:rsidRPr="00081D96" w:rsidRDefault="00081D96" w:rsidP="00081D96">
      <w:pPr>
        <w:rPr>
          <w:b/>
          <w:bCs/>
        </w:rPr>
      </w:pPr>
      <w:r w:rsidRPr="00081D96">
        <w:rPr>
          <w:b/>
          <w:bCs/>
        </w:rPr>
        <w:t xml:space="preserve">Step 3: Update </w:t>
      </w:r>
      <w:proofErr w:type="spellStart"/>
      <w:r w:rsidRPr="00081D96">
        <w:rPr>
          <w:b/>
          <w:bCs/>
        </w:rPr>
        <w:t>DataPointRenderer</w:t>
      </w:r>
      <w:proofErr w:type="spellEnd"/>
      <w:r w:rsidRPr="00081D96">
        <w:rPr>
          <w:b/>
          <w:bCs/>
        </w:rPr>
        <w:t xml:space="preserve"> Component</w:t>
      </w:r>
    </w:p>
    <w:p w14:paraId="32488077" w14:textId="77777777" w:rsidR="00081D96" w:rsidRPr="00081D96" w:rsidRDefault="00081D96" w:rsidP="00081D96">
      <w:r w:rsidRPr="00081D96">
        <w:t xml:space="preserve">Modify </w:t>
      </w:r>
      <w:proofErr w:type="spellStart"/>
      <w:r w:rsidRPr="00081D96">
        <w:t>DataPointRenderer</w:t>
      </w:r>
      <w:proofErr w:type="spellEnd"/>
      <w:r w:rsidRPr="00081D96">
        <w:t xml:space="preserve"> to:</w:t>
      </w:r>
    </w:p>
    <w:p w14:paraId="227513B9" w14:textId="77777777" w:rsidR="00081D96" w:rsidRPr="00081D96" w:rsidRDefault="00081D96" w:rsidP="00081D96">
      <w:pPr>
        <w:numPr>
          <w:ilvl w:val="0"/>
          <w:numId w:val="5"/>
        </w:numPr>
      </w:pPr>
      <w:r w:rsidRPr="00081D96">
        <w:t xml:space="preserve">Use the </w:t>
      </w:r>
      <w:proofErr w:type="spellStart"/>
      <w:r w:rsidRPr="00081D96">
        <w:t>QuadrantAssignmentContext</w:t>
      </w:r>
      <w:proofErr w:type="spellEnd"/>
      <w:r w:rsidRPr="00081D96">
        <w:t xml:space="preserve"> for quadrant determination</w:t>
      </w:r>
    </w:p>
    <w:p w14:paraId="0082666B" w14:textId="77777777" w:rsidR="00081D96" w:rsidRPr="00081D96" w:rsidRDefault="00081D96" w:rsidP="00081D96">
      <w:pPr>
        <w:numPr>
          <w:ilvl w:val="0"/>
          <w:numId w:val="5"/>
        </w:numPr>
      </w:pPr>
      <w:r w:rsidRPr="00081D96">
        <w:t>Update the context when manual reassignments occur</w:t>
      </w:r>
    </w:p>
    <w:p w14:paraId="259FD1EB" w14:textId="77777777" w:rsidR="00081D96" w:rsidRPr="00081D96" w:rsidRDefault="00081D96" w:rsidP="00081D96">
      <w:pPr>
        <w:numPr>
          <w:ilvl w:val="0"/>
          <w:numId w:val="5"/>
        </w:numPr>
      </w:pPr>
      <w:r w:rsidRPr="00081D96">
        <w:t xml:space="preserve">Remove local </w:t>
      </w:r>
      <w:proofErr w:type="spellStart"/>
      <w:r w:rsidRPr="00081D96">
        <w:t>manualGroups</w:t>
      </w:r>
      <w:proofErr w:type="spellEnd"/>
      <w:r w:rsidRPr="00081D96">
        <w:t xml:space="preserve"> state</w:t>
      </w:r>
    </w:p>
    <w:p w14:paraId="7F44DCF1" w14:textId="77777777" w:rsidR="00081D96" w:rsidRPr="00081D96" w:rsidRDefault="00081D96" w:rsidP="00081D96">
      <w:pPr>
        <w:rPr>
          <w:b/>
          <w:bCs/>
        </w:rPr>
      </w:pPr>
      <w:r w:rsidRPr="00081D96">
        <w:rPr>
          <w:b/>
          <w:bCs/>
        </w:rPr>
        <w:t>Step 4: Update Visualization Components</w:t>
      </w:r>
    </w:p>
    <w:p w14:paraId="0FDCF437" w14:textId="77777777" w:rsidR="00081D96" w:rsidRPr="00081D96" w:rsidRDefault="00081D96" w:rsidP="00081D96">
      <w:r w:rsidRPr="00081D96">
        <w:t>Update other visualization components to use the context:</w:t>
      </w:r>
    </w:p>
    <w:p w14:paraId="2A919801" w14:textId="77777777" w:rsidR="00081D96" w:rsidRPr="00081D96" w:rsidRDefault="00081D96" w:rsidP="00081D96">
      <w:pPr>
        <w:numPr>
          <w:ilvl w:val="0"/>
          <w:numId w:val="6"/>
        </w:numPr>
      </w:pPr>
      <w:proofErr w:type="spellStart"/>
      <w:r w:rsidRPr="00081D96">
        <w:t>QuadrantChart.tsx</w:t>
      </w:r>
      <w:proofErr w:type="spellEnd"/>
    </w:p>
    <w:p w14:paraId="2E8136C8" w14:textId="77777777" w:rsidR="00081D96" w:rsidRPr="00081D96" w:rsidRDefault="00081D96" w:rsidP="00081D96">
      <w:pPr>
        <w:numPr>
          <w:ilvl w:val="0"/>
          <w:numId w:val="6"/>
        </w:numPr>
      </w:pPr>
      <w:proofErr w:type="spellStart"/>
      <w:r w:rsidRPr="00081D96">
        <w:t>SpecialZoneRenderer.tsx</w:t>
      </w:r>
      <w:proofErr w:type="spellEnd"/>
    </w:p>
    <w:p w14:paraId="2E1F5705" w14:textId="77777777" w:rsidR="00081D96" w:rsidRPr="00081D96" w:rsidRDefault="00081D96" w:rsidP="00081D96">
      <w:pPr>
        <w:numPr>
          <w:ilvl w:val="0"/>
          <w:numId w:val="6"/>
        </w:numPr>
      </w:pPr>
      <w:r w:rsidRPr="00081D96">
        <w:t>Components that read or display quadrant information</w:t>
      </w:r>
    </w:p>
    <w:p w14:paraId="035A35C9" w14:textId="77777777" w:rsidR="00081D96" w:rsidRPr="00081D96" w:rsidRDefault="00081D96" w:rsidP="00081D96">
      <w:pPr>
        <w:rPr>
          <w:b/>
          <w:bCs/>
        </w:rPr>
      </w:pPr>
      <w:r w:rsidRPr="00081D96">
        <w:rPr>
          <w:b/>
          <w:bCs/>
        </w:rPr>
        <w:t>Step 5: Update Reporting Components</w:t>
      </w:r>
    </w:p>
    <w:p w14:paraId="36CE00C4" w14:textId="77777777" w:rsidR="00081D96" w:rsidRPr="00081D96" w:rsidRDefault="00081D96" w:rsidP="00081D96">
      <w:r w:rsidRPr="00081D96">
        <w:t>Modify reporting components to use the context:</w:t>
      </w:r>
    </w:p>
    <w:p w14:paraId="18002125" w14:textId="77777777" w:rsidR="00081D96" w:rsidRPr="00081D96" w:rsidRDefault="00081D96" w:rsidP="00081D96">
      <w:pPr>
        <w:numPr>
          <w:ilvl w:val="0"/>
          <w:numId w:val="7"/>
        </w:numPr>
      </w:pPr>
      <w:proofErr w:type="spellStart"/>
      <w:r w:rsidRPr="00081D96">
        <w:t>DistributionSection.tsx</w:t>
      </w:r>
      <w:proofErr w:type="spellEnd"/>
    </w:p>
    <w:p w14:paraId="580435EC" w14:textId="77777777" w:rsidR="00081D96" w:rsidRPr="00081D96" w:rsidRDefault="00081D96" w:rsidP="00081D96">
      <w:pPr>
        <w:numPr>
          <w:ilvl w:val="0"/>
          <w:numId w:val="7"/>
        </w:numPr>
      </w:pPr>
      <w:proofErr w:type="spellStart"/>
      <w:r w:rsidRPr="00081D96">
        <w:t>ProximityAnalysis.tsx</w:t>
      </w:r>
      <w:proofErr w:type="spellEnd"/>
    </w:p>
    <w:p w14:paraId="34958264" w14:textId="77777777" w:rsidR="00081D96" w:rsidRPr="00081D96" w:rsidRDefault="00081D96" w:rsidP="00081D96">
      <w:pPr>
        <w:numPr>
          <w:ilvl w:val="0"/>
          <w:numId w:val="7"/>
        </w:numPr>
      </w:pPr>
      <w:proofErr w:type="spellStart"/>
      <w:r w:rsidRPr="00081D96">
        <w:t>ProximityList.tsx</w:t>
      </w:r>
      <w:proofErr w:type="spellEnd"/>
    </w:p>
    <w:p w14:paraId="66B80021" w14:textId="77777777" w:rsidR="00081D96" w:rsidRPr="00081D96" w:rsidRDefault="00081D96" w:rsidP="00081D96">
      <w:pPr>
        <w:numPr>
          <w:ilvl w:val="0"/>
          <w:numId w:val="7"/>
        </w:numPr>
      </w:pPr>
      <w:proofErr w:type="spellStart"/>
      <w:r w:rsidRPr="00081D96">
        <w:t>ProximityTileMap.tsx</w:t>
      </w:r>
      <w:proofErr w:type="spellEnd"/>
    </w:p>
    <w:p w14:paraId="3BE9EEF8" w14:textId="77777777" w:rsidR="00081D96" w:rsidRPr="00081D96" w:rsidRDefault="00081D96" w:rsidP="00081D96">
      <w:pPr>
        <w:numPr>
          <w:ilvl w:val="0"/>
          <w:numId w:val="7"/>
        </w:numPr>
      </w:pPr>
      <w:proofErr w:type="spellStart"/>
      <w:r w:rsidRPr="00081D96">
        <w:t>DataReport.tsx</w:t>
      </w:r>
      <w:proofErr w:type="spellEnd"/>
    </w:p>
    <w:p w14:paraId="18817909" w14:textId="77777777" w:rsidR="00081D96" w:rsidRPr="00081D96" w:rsidRDefault="00081D96" w:rsidP="00081D96">
      <w:pPr>
        <w:rPr>
          <w:b/>
          <w:bCs/>
        </w:rPr>
      </w:pPr>
      <w:r w:rsidRPr="00081D96">
        <w:rPr>
          <w:b/>
          <w:bCs/>
        </w:rPr>
        <w:t>Step 6: Enhance Export Functionality</w:t>
      </w:r>
    </w:p>
    <w:p w14:paraId="3A0D190C" w14:textId="77777777" w:rsidR="00081D96" w:rsidRPr="00081D96" w:rsidRDefault="00081D96" w:rsidP="00081D96">
      <w:r w:rsidRPr="00081D96">
        <w:t>Ensure the export functionality uses the context to:</w:t>
      </w:r>
    </w:p>
    <w:p w14:paraId="2386C5D7" w14:textId="77777777" w:rsidR="00081D96" w:rsidRPr="00081D96" w:rsidRDefault="00081D96" w:rsidP="00081D96">
      <w:pPr>
        <w:numPr>
          <w:ilvl w:val="0"/>
          <w:numId w:val="8"/>
        </w:numPr>
      </w:pPr>
      <w:r w:rsidRPr="00081D96">
        <w:t>Include current quadrant assignments for each data point</w:t>
      </w:r>
    </w:p>
    <w:p w14:paraId="046092D7" w14:textId="77777777" w:rsidR="00081D96" w:rsidRPr="00081D96" w:rsidRDefault="00081D96" w:rsidP="00081D96">
      <w:pPr>
        <w:numPr>
          <w:ilvl w:val="0"/>
          <w:numId w:val="8"/>
        </w:numPr>
      </w:pPr>
      <w:r w:rsidRPr="00081D96">
        <w:t>Reflect any manual reassignments made by the user</w:t>
      </w:r>
    </w:p>
    <w:p w14:paraId="07EDEB65" w14:textId="77777777" w:rsidR="00081D96" w:rsidRPr="00081D96" w:rsidRDefault="00081D96" w:rsidP="00081D96">
      <w:pPr>
        <w:numPr>
          <w:ilvl w:val="0"/>
          <w:numId w:val="8"/>
        </w:numPr>
      </w:pPr>
      <w:r w:rsidRPr="00081D96">
        <w:lastRenderedPageBreak/>
        <w:t>Provide consistent quadrant distribution statistics</w:t>
      </w:r>
    </w:p>
    <w:p w14:paraId="4D6C3863" w14:textId="77777777" w:rsidR="00081D96" w:rsidRPr="00081D96" w:rsidRDefault="00081D96" w:rsidP="00081D96">
      <w:pPr>
        <w:rPr>
          <w:b/>
          <w:bCs/>
        </w:rPr>
      </w:pPr>
      <w:r w:rsidRPr="00081D96">
        <w:rPr>
          <w:b/>
          <w:bCs/>
        </w:rPr>
        <w:t>Technical Details</w:t>
      </w:r>
    </w:p>
    <w:p w14:paraId="4BBC1EBB" w14:textId="77777777" w:rsidR="00081D96" w:rsidRPr="00081D96" w:rsidRDefault="00081D96" w:rsidP="00081D96">
      <w:pPr>
        <w:rPr>
          <w:b/>
          <w:bCs/>
        </w:rPr>
      </w:pPr>
      <w:proofErr w:type="spellStart"/>
      <w:r w:rsidRPr="00081D96">
        <w:rPr>
          <w:b/>
          <w:bCs/>
        </w:rPr>
        <w:t>QuadrantAssignmentContext</w:t>
      </w:r>
      <w:proofErr w:type="spellEnd"/>
      <w:r w:rsidRPr="00081D96">
        <w:rPr>
          <w:b/>
          <w:bCs/>
        </w:rPr>
        <w:t xml:space="preserve"> Interface</w:t>
      </w:r>
    </w:p>
    <w:p w14:paraId="0AF3D3F0" w14:textId="77777777" w:rsidR="00081D96" w:rsidRPr="00081D96" w:rsidRDefault="00081D96" w:rsidP="00081D96">
      <w:r w:rsidRPr="00081D96">
        <w:t>typescript</w:t>
      </w:r>
    </w:p>
    <w:p w14:paraId="47165629" w14:textId="77777777" w:rsidR="00081D96" w:rsidRPr="00081D96" w:rsidRDefault="00081D96" w:rsidP="00081D96">
      <w:r w:rsidRPr="00081D96">
        <w:t xml:space="preserve">interface </w:t>
      </w:r>
      <w:proofErr w:type="spellStart"/>
      <w:r w:rsidRPr="00081D96">
        <w:t>QuadrantAssignmentContextType</w:t>
      </w:r>
      <w:proofErr w:type="spellEnd"/>
      <w:r w:rsidRPr="00081D96">
        <w:t xml:space="preserve"> {</w:t>
      </w:r>
    </w:p>
    <w:p w14:paraId="3EF430AC" w14:textId="77777777" w:rsidR="00081D96" w:rsidRPr="00081D96" w:rsidRDefault="00081D96" w:rsidP="00081D96">
      <w:r w:rsidRPr="00081D96">
        <w:t xml:space="preserve">  </w:t>
      </w:r>
      <w:r w:rsidRPr="00081D96">
        <w:rPr>
          <w:i/>
          <w:iCs/>
        </w:rPr>
        <w:t>// Midpoint state</w:t>
      </w:r>
    </w:p>
    <w:p w14:paraId="38FBFECA" w14:textId="77777777" w:rsidR="00081D96" w:rsidRPr="00081D96" w:rsidRDefault="00081D96" w:rsidP="00081D96">
      <w:r w:rsidRPr="00081D96">
        <w:t xml:space="preserve">  midpoint: { sat: number; </w:t>
      </w:r>
      <w:proofErr w:type="spellStart"/>
      <w:r w:rsidRPr="00081D96">
        <w:t>loy</w:t>
      </w:r>
      <w:proofErr w:type="spellEnd"/>
      <w:r w:rsidRPr="00081D96">
        <w:t>: number };</w:t>
      </w:r>
    </w:p>
    <w:p w14:paraId="366A7016" w14:textId="77777777" w:rsidR="00081D96" w:rsidRPr="00081D96" w:rsidRDefault="00081D96" w:rsidP="00081D96">
      <w:r w:rsidRPr="00081D96">
        <w:t xml:space="preserve">  </w:t>
      </w:r>
      <w:proofErr w:type="spellStart"/>
      <w:r w:rsidRPr="00081D96">
        <w:t>setMidpoint</w:t>
      </w:r>
      <w:proofErr w:type="spellEnd"/>
      <w:r w:rsidRPr="00081D96">
        <w:t>: (</w:t>
      </w:r>
      <w:proofErr w:type="spellStart"/>
      <w:r w:rsidRPr="00081D96">
        <w:t>newMidpoint</w:t>
      </w:r>
      <w:proofErr w:type="spellEnd"/>
      <w:r w:rsidRPr="00081D96">
        <w:t xml:space="preserve">: { sat: number; </w:t>
      </w:r>
      <w:proofErr w:type="spellStart"/>
      <w:r w:rsidRPr="00081D96">
        <w:t>loy</w:t>
      </w:r>
      <w:proofErr w:type="spellEnd"/>
      <w:r w:rsidRPr="00081D96">
        <w:t>: number }) =&gt; void;</w:t>
      </w:r>
    </w:p>
    <w:p w14:paraId="2C5ADAA1" w14:textId="77777777" w:rsidR="00081D96" w:rsidRPr="00081D96" w:rsidRDefault="00081D96" w:rsidP="00081D96">
      <w:r w:rsidRPr="00081D96">
        <w:t xml:space="preserve">  </w:t>
      </w:r>
    </w:p>
    <w:p w14:paraId="348215C6" w14:textId="77777777" w:rsidR="00081D96" w:rsidRPr="00081D96" w:rsidRDefault="00081D96" w:rsidP="00081D96">
      <w:r w:rsidRPr="00081D96">
        <w:t xml:space="preserve">  </w:t>
      </w:r>
      <w:r w:rsidRPr="00081D96">
        <w:rPr>
          <w:i/>
          <w:iCs/>
        </w:rPr>
        <w:t>// Manual assignments management</w:t>
      </w:r>
    </w:p>
    <w:p w14:paraId="7D8A2B1C" w14:textId="77777777" w:rsidR="00081D96" w:rsidRPr="00081D96" w:rsidRDefault="00081D96" w:rsidP="00081D96">
      <w:r w:rsidRPr="00081D96">
        <w:t xml:space="preserve">  </w:t>
      </w:r>
      <w:proofErr w:type="spellStart"/>
      <w:r w:rsidRPr="00081D96">
        <w:t>manualAssignments</w:t>
      </w:r>
      <w:proofErr w:type="spellEnd"/>
      <w:r w:rsidRPr="00081D96">
        <w:t xml:space="preserve">: Map&lt;string, </w:t>
      </w:r>
      <w:proofErr w:type="spellStart"/>
      <w:r w:rsidRPr="00081D96">
        <w:t>QuadrantType</w:t>
      </w:r>
      <w:proofErr w:type="spellEnd"/>
      <w:r w:rsidRPr="00081D96">
        <w:t>&gt;;</w:t>
      </w:r>
    </w:p>
    <w:p w14:paraId="38A4DDBD" w14:textId="77777777" w:rsidR="00081D96" w:rsidRPr="00081D96" w:rsidRDefault="00081D96" w:rsidP="00081D96">
      <w:r w:rsidRPr="00081D96">
        <w:t xml:space="preserve">  </w:t>
      </w:r>
      <w:proofErr w:type="spellStart"/>
      <w:r w:rsidRPr="00081D96">
        <w:t>updateManualAssignment</w:t>
      </w:r>
      <w:proofErr w:type="spellEnd"/>
      <w:r w:rsidRPr="00081D96">
        <w:t>: (</w:t>
      </w:r>
      <w:proofErr w:type="spellStart"/>
      <w:r w:rsidRPr="00081D96">
        <w:t>pointId</w:t>
      </w:r>
      <w:proofErr w:type="spellEnd"/>
      <w:r w:rsidRPr="00081D96">
        <w:t xml:space="preserve">: string, quadrant: </w:t>
      </w:r>
      <w:proofErr w:type="spellStart"/>
      <w:r w:rsidRPr="00081D96">
        <w:t>QuadrantType</w:t>
      </w:r>
      <w:proofErr w:type="spellEnd"/>
      <w:r w:rsidRPr="00081D96">
        <w:t>) =&gt; void;</w:t>
      </w:r>
    </w:p>
    <w:p w14:paraId="27DB6C36" w14:textId="77777777" w:rsidR="00081D96" w:rsidRPr="00081D96" w:rsidRDefault="00081D96" w:rsidP="00081D96">
      <w:r w:rsidRPr="00081D96">
        <w:t xml:space="preserve">  </w:t>
      </w:r>
      <w:proofErr w:type="spellStart"/>
      <w:r w:rsidRPr="00081D96">
        <w:t>clearManualAssignment</w:t>
      </w:r>
      <w:proofErr w:type="spellEnd"/>
      <w:r w:rsidRPr="00081D96">
        <w:t>: (</w:t>
      </w:r>
      <w:proofErr w:type="spellStart"/>
      <w:r w:rsidRPr="00081D96">
        <w:t>pointId</w:t>
      </w:r>
      <w:proofErr w:type="spellEnd"/>
      <w:r w:rsidRPr="00081D96">
        <w:t>: string) =&gt; void;</w:t>
      </w:r>
    </w:p>
    <w:p w14:paraId="27D31136" w14:textId="77777777" w:rsidR="00081D96" w:rsidRPr="00081D96" w:rsidRDefault="00081D96" w:rsidP="00081D96">
      <w:r w:rsidRPr="00081D96">
        <w:t xml:space="preserve">  </w:t>
      </w:r>
    </w:p>
    <w:p w14:paraId="674803EE" w14:textId="77777777" w:rsidR="00081D96" w:rsidRPr="00081D96" w:rsidRDefault="00081D96" w:rsidP="00081D96">
      <w:r w:rsidRPr="00081D96">
        <w:t xml:space="preserve">  </w:t>
      </w:r>
      <w:r w:rsidRPr="00081D96">
        <w:rPr>
          <w:i/>
          <w:iCs/>
        </w:rPr>
        <w:t>// Quadrant determination</w:t>
      </w:r>
    </w:p>
    <w:p w14:paraId="50CBADF5" w14:textId="77777777" w:rsidR="00081D96" w:rsidRPr="00081D96" w:rsidRDefault="00081D96" w:rsidP="00081D96">
      <w:r w:rsidRPr="00081D96">
        <w:t xml:space="preserve">  </w:t>
      </w:r>
      <w:proofErr w:type="spellStart"/>
      <w:r w:rsidRPr="00081D96">
        <w:t>getQuadrantForPoint</w:t>
      </w:r>
      <w:proofErr w:type="spellEnd"/>
      <w:r w:rsidRPr="00081D96">
        <w:t xml:space="preserve">: (point: </w:t>
      </w:r>
      <w:proofErr w:type="spellStart"/>
      <w:r w:rsidRPr="00081D96">
        <w:t>DataPoint</w:t>
      </w:r>
      <w:proofErr w:type="spellEnd"/>
      <w:r w:rsidRPr="00081D96">
        <w:t xml:space="preserve">) =&gt; </w:t>
      </w:r>
      <w:proofErr w:type="spellStart"/>
      <w:r w:rsidRPr="00081D96">
        <w:t>QuadrantType</w:t>
      </w:r>
      <w:proofErr w:type="spellEnd"/>
      <w:r w:rsidRPr="00081D96">
        <w:t>;</w:t>
      </w:r>
    </w:p>
    <w:p w14:paraId="30DD6A72" w14:textId="77777777" w:rsidR="00081D96" w:rsidRPr="00081D96" w:rsidRDefault="00081D96" w:rsidP="00081D96">
      <w:r w:rsidRPr="00081D96">
        <w:t xml:space="preserve">  </w:t>
      </w:r>
    </w:p>
    <w:p w14:paraId="3949541B" w14:textId="77777777" w:rsidR="00081D96" w:rsidRPr="00081D96" w:rsidRDefault="00081D96" w:rsidP="00081D96">
      <w:r w:rsidRPr="00081D96">
        <w:t xml:space="preserve">  </w:t>
      </w:r>
      <w:r w:rsidRPr="00081D96">
        <w:rPr>
          <w:i/>
          <w:iCs/>
        </w:rPr>
        <w:t>// Distribution statistics</w:t>
      </w:r>
    </w:p>
    <w:p w14:paraId="4D2C6E98" w14:textId="77777777" w:rsidR="00081D96" w:rsidRPr="00081D96" w:rsidRDefault="00081D96" w:rsidP="00081D96">
      <w:r w:rsidRPr="00081D96">
        <w:t xml:space="preserve">  distribution: Record&lt;</w:t>
      </w:r>
      <w:proofErr w:type="spellStart"/>
      <w:r w:rsidRPr="00081D96">
        <w:t>QuadrantType</w:t>
      </w:r>
      <w:proofErr w:type="spellEnd"/>
      <w:r w:rsidRPr="00081D96">
        <w:t>, number&gt;;</w:t>
      </w:r>
    </w:p>
    <w:p w14:paraId="3C9B8E71" w14:textId="77777777" w:rsidR="00081D96" w:rsidRPr="00081D96" w:rsidRDefault="00081D96" w:rsidP="00081D96">
      <w:r w:rsidRPr="00081D96">
        <w:t xml:space="preserve">  </w:t>
      </w:r>
    </w:p>
    <w:p w14:paraId="36B45AFF" w14:textId="77777777" w:rsidR="00081D96" w:rsidRPr="00081D96" w:rsidRDefault="00081D96" w:rsidP="00081D96">
      <w:r w:rsidRPr="00081D96">
        <w:t xml:space="preserve">  </w:t>
      </w:r>
      <w:r w:rsidRPr="00081D96">
        <w:rPr>
          <w:i/>
          <w:iCs/>
        </w:rPr>
        <w:t>// Scale information</w:t>
      </w:r>
    </w:p>
    <w:p w14:paraId="4013A93A" w14:textId="77777777" w:rsidR="00081D96" w:rsidRPr="00081D96" w:rsidRDefault="00081D96" w:rsidP="00081D96">
      <w:r w:rsidRPr="00081D96">
        <w:t xml:space="preserve">  </w:t>
      </w:r>
      <w:proofErr w:type="spellStart"/>
      <w:r w:rsidRPr="00081D96">
        <w:t>satisfactionScale</w:t>
      </w:r>
      <w:proofErr w:type="spellEnd"/>
      <w:r w:rsidRPr="00081D96">
        <w:t xml:space="preserve">: </w:t>
      </w:r>
      <w:proofErr w:type="spellStart"/>
      <w:r w:rsidRPr="00081D96">
        <w:t>ScaleFormat</w:t>
      </w:r>
      <w:proofErr w:type="spellEnd"/>
      <w:r w:rsidRPr="00081D96">
        <w:t>;</w:t>
      </w:r>
    </w:p>
    <w:p w14:paraId="4D4FDF93" w14:textId="77777777" w:rsidR="00081D96" w:rsidRPr="00081D96" w:rsidRDefault="00081D96" w:rsidP="00081D96">
      <w:r w:rsidRPr="00081D96">
        <w:t xml:space="preserve">  </w:t>
      </w:r>
      <w:proofErr w:type="spellStart"/>
      <w:r w:rsidRPr="00081D96">
        <w:t>loyaltyScale</w:t>
      </w:r>
      <w:proofErr w:type="spellEnd"/>
      <w:r w:rsidRPr="00081D96">
        <w:t xml:space="preserve">: </w:t>
      </w:r>
      <w:proofErr w:type="spellStart"/>
      <w:r w:rsidRPr="00081D96">
        <w:t>ScaleFormat</w:t>
      </w:r>
      <w:proofErr w:type="spellEnd"/>
      <w:r w:rsidRPr="00081D96">
        <w:t>;</w:t>
      </w:r>
    </w:p>
    <w:p w14:paraId="0C40EB83" w14:textId="77777777" w:rsidR="00081D96" w:rsidRPr="00081D96" w:rsidRDefault="00081D96" w:rsidP="00081D96">
      <w:r w:rsidRPr="00081D96">
        <w:t>}</w:t>
      </w:r>
    </w:p>
    <w:p w14:paraId="3197C3A7" w14:textId="77777777" w:rsidR="00081D96" w:rsidRPr="00081D96" w:rsidRDefault="00081D96" w:rsidP="00081D96">
      <w:pPr>
        <w:rPr>
          <w:b/>
          <w:bCs/>
        </w:rPr>
      </w:pPr>
      <w:r w:rsidRPr="00081D96">
        <w:rPr>
          <w:b/>
          <w:bCs/>
        </w:rPr>
        <w:t>Quadrant Types</w:t>
      </w:r>
    </w:p>
    <w:p w14:paraId="2639A6F3" w14:textId="77777777" w:rsidR="00081D96" w:rsidRPr="00081D96" w:rsidRDefault="00081D96" w:rsidP="00081D96">
      <w:r w:rsidRPr="00081D96">
        <w:t>typescript</w:t>
      </w:r>
    </w:p>
    <w:p w14:paraId="0CC6847C" w14:textId="77777777" w:rsidR="00081D96" w:rsidRPr="00081D96" w:rsidRDefault="00081D96" w:rsidP="00081D96">
      <w:r w:rsidRPr="00081D96">
        <w:t xml:space="preserve">type </w:t>
      </w:r>
      <w:proofErr w:type="spellStart"/>
      <w:r w:rsidRPr="00081D96">
        <w:t>QuadrantType</w:t>
      </w:r>
      <w:proofErr w:type="spellEnd"/>
      <w:r w:rsidRPr="00081D96">
        <w:t xml:space="preserve"> = </w:t>
      </w:r>
    </w:p>
    <w:p w14:paraId="36D5321C" w14:textId="77777777" w:rsidR="00081D96" w:rsidRPr="00081D96" w:rsidRDefault="00081D96" w:rsidP="00081D96">
      <w:r w:rsidRPr="00081D96">
        <w:t xml:space="preserve">  'loyalists' | </w:t>
      </w:r>
    </w:p>
    <w:p w14:paraId="2BF02454" w14:textId="77777777" w:rsidR="00081D96" w:rsidRPr="00081D96" w:rsidRDefault="00081D96" w:rsidP="00081D96">
      <w:r w:rsidRPr="00081D96">
        <w:t xml:space="preserve">  'mercenaries' | </w:t>
      </w:r>
    </w:p>
    <w:p w14:paraId="36AE8149" w14:textId="77777777" w:rsidR="00081D96" w:rsidRPr="00081D96" w:rsidRDefault="00081D96" w:rsidP="00081D96">
      <w:r w:rsidRPr="00081D96">
        <w:t xml:space="preserve">  'hostages' | </w:t>
      </w:r>
    </w:p>
    <w:p w14:paraId="5FA28E08" w14:textId="77777777" w:rsidR="00081D96" w:rsidRPr="00081D96" w:rsidRDefault="00081D96" w:rsidP="00081D96">
      <w:r w:rsidRPr="00081D96">
        <w:t xml:space="preserve">  'defectors' | </w:t>
      </w:r>
    </w:p>
    <w:p w14:paraId="7A2FB1CD" w14:textId="77777777" w:rsidR="00081D96" w:rsidRPr="00081D96" w:rsidRDefault="00081D96" w:rsidP="00081D96">
      <w:r w:rsidRPr="00081D96">
        <w:lastRenderedPageBreak/>
        <w:t xml:space="preserve">  'apostles' | </w:t>
      </w:r>
    </w:p>
    <w:p w14:paraId="12C51111" w14:textId="77777777" w:rsidR="00081D96" w:rsidRPr="00081D96" w:rsidRDefault="00081D96" w:rsidP="00081D96">
      <w:r w:rsidRPr="00081D96">
        <w:t xml:space="preserve">  'terrorists' | </w:t>
      </w:r>
    </w:p>
    <w:p w14:paraId="2D2C7BF0" w14:textId="77777777" w:rsidR="00081D96" w:rsidRPr="00081D96" w:rsidRDefault="00081D96" w:rsidP="00081D96">
      <w:r w:rsidRPr="00081D96">
        <w:t xml:space="preserve">  '</w:t>
      </w:r>
      <w:proofErr w:type="spellStart"/>
      <w:r w:rsidRPr="00081D96">
        <w:t>near_apostles</w:t>
      </w:r>
      <w:proofErr w:type="spellEnd"/>
      <w:r w:rsidRPr="00081D96">
        <w:t xml:space="preserve">' | </w:t>
      </w:r>
    </w:p>
    <w:p w14:paraId="1E9B79F6" w14:textId="77777777" w:rsidR="00081D96" w:rsidRPr="00081D96" w:rsidRDefault="00081D96" w:rsidP="00081D96">
      <w:r w:rsidRPr="00081D96">
        <w:t xml:space="preserve">  '</w:t>
      </w:r>
      <w:proofErr w:type="spellStart"/>
      <w:r w:rsidRPr="00081D96">
        <w:t>near_terrorists</w:t>
      </w:r>
      <w:proofErr w:type="spellEnd"/>
      <w:r w:rsidRPr="00081D96">
        <w:t>';</w:t>
      </w:r>
    </w:p>
    <w:p w14:paraId="4DA288B1" w14:textId="77777777" w:rsidR="00081D96" w:rsidRPr="00081D96" w:rsidRDefault="00081D96" w:rsidP="00081D96">
      <w:pPr>
        <w:rPr>
          <w:b/>
          <w:bCs/>
        </w:rPr>
      </w:pPr>
      <w:r w:rsidRPr="00081D96">
        <w:rPr>
          <w:b/>
          <w:bCs/>
        </w:rPr>
        <w:t>Benefits</w:t>
      </w:r>
    </w:p>
    <w:p w14:paraId="6F62BC39" w14:textId="77777777" w:rsidR="00081D96" w:rsidRPr="00081D96" w:rsidRDefault="00081D96" w:rsidP="00081D96">
      <w:pPr>
        <w:numPr>
          <w:ilvl w:val="0"/>
          <w:numId w:val="9"/>
        </w:numPr>
      </w:pPr>
      <w:r w:rsidRPr="00081D96">
        <w:t>Single source of truth for quadrant assignments</w:t>
      </w:r>
    </w:p>
    <w:p w14:paraId="39DBD350" w14:textId="77777777" w:rsidR="00081D96" w:rsidRPr="00081D96" w:rsidRDefault="00081D96" w:rsidP="00081D96">
      <w:pPr>
        <w:numPr>
          <w:ilvl w:val="0"/>
          <w:numId w:val="9"/>
        </w:numPr>
      </w:pPr>
      <w:r w:rsidRPr="00081D96">
        <w:t>Consistent display across visualization and reporting</w:t>
      </w:r>
    </w:p>
    <w:p w14:paraId="41468099" w14:textId="77777777" w:rsidR="00081D96" w:rsidRPr="00081D96" w:rsidRDefault="00081D96" w:rsidP="00081D96">
      <w:pPr>
        <w:numPr>
          <w:ilvl w:val="0"/>
          <w:numId w:val="9"/>
        </w:numPr>
      </w:pPr>
      <w:r w:rsidRPr="00081D96">
        <w:t>Persistent manual assignments across the application</w:t>
      </w:r>
    </w:p>
    <w:p w14:paraId="48C053EF" w14:textId="77777777" w:rsidR="00081D96" w:rsidRPr="00081D96" w:rsidRDefault="00081D96" w:rsidP="00081D96">
      <w:pPr>
        <w:numPr>
          <w:ilvl w:val="0"/>
          <w:numId w:val="9"/>
        </w:numPr>
      </w:pPr>
      <w:r w:rsidRPr="00081D96">
        <w:t>Simplified component logic (DRY principle)</w:t>
      </w:r>
    </w:p>
    <w:p w14:paraId="1560D650" w14:textId="77777777" w:rsidR="00081D96" w:rsidRPr="00081D96" w:rsidRDefault="00081D96" w:rsidP="00081D96">
      <w:pPr>
        <w:numPr>
          <w:ilvl w:val="0"/>
          <w:numId w:val="9"/>
        </w:numPr>
      </w:pPr>
      <w:r w:rsidRPr="00081D96">
        <w:t>Improved maintainability and testability</w:t>
      </w:r>
    </w:p>
    <w:p w14:paraId="3F0A7069" w14:textId="77777777" w:rsidR="00081D96" w:rsidRPr="00081D96" w:rsidRDefault="00081D96" w:rsidP="00081D96">
      <w:pPr>
        <w:numPr>
          <w:ilvl w:val="0"/>
          <w:numId w:val="9"/>
        </w:numPr>
      </w:pPr>
      <w:r w:rsidRPr="00081D96">
        <w:t>Flexible foundation for future reporting and export features</w:t>
      </w:r>
    </w:p>
    <w:p w14:paraId="0E875293" w14:textId="77777777" w:rsidR="00081D96" w:rsidRPr="00081D96" w:rsidRDefault="00081D96" w:rsidP="00081D96">
      <w:pPr>
        <w:rPr>
          <w:b/>
          <w:bCs/>
        </w:rPr>
      </w:pPr>
      <w:r w:rsidRPr="00081D96">
        <w:rPr>
          <w:b/>
          <w:bCs/>
        </w:rPr>
        <w:t>Implementation Schedule</w:t>
      </w:r>
    </w:p>
    <w:p w14:paraId="7877907D" w14:textId="77777777" w:rsidR="00081D96" w:rsidRPr="00081D96" w:rsidRDefault="00081D96" w:rsidP="00081D96">
      <w:pPr>
        <w:numPr>
          <w:ilvl w:val="0"/>
          <w:numId w:val="10"/>
        </w:numPr>
      </w:pPr>
      <w:r w:rsidRPr="00081D96">
        <w:t xml:space="preserve">Create and test </w:t>
      </w:r>
      <w:proofErr w:type="spellStart"/>
      <w:r w:rsidRPr="00081D96">
        <w:t>QuadrantAssignmentContext</w:t>
      </w:r>
      <w:proofErr w:type="spellEnd"/>
    </w:p>
    <w:p w14:paraId="1DEF095E" w14:textId="77777777" w:rsidR="00081D96" w:rsidRPr="00081D96" w:rsidRDefault="00081D96" w:rsidP="00081D96">
      <w:pPr>
        <w:numPr>
          <w:ilvl w:val="0"/>
          <w:numId w:val="10"/>
        </w:numPr>
      </w:pPr>
      <w:r w:rsidRPr="00081D96">
        <w:t xml:space="preserve">Update </w:t>
      </w:r>
      <w:proofErr w:type="spellStart"/>
      <w:r w:rsidRPr="00081D96">
        <w:t>App.tsx</w:t>
      </w:r>
      <w:proofErr w:type="spellEnd"/>
      <w:r w:rsidRPr="00081D96">
        <w:t xml:space="preserve"> to incorporate the provider</w:t>
      </w:r>
    </w:p>
    <w:p w14:paraId="76471BA9" w14:textId="77777777" w:rsidR="00081D96" w:rsidRPr="00081D96" w:rsidRDefault="00081D96" w:rsidP="00081D96">
      <w:pPr>
        <w:numPr>
          <w:ilvl w:val="0"/>
          <w:numId w:val="10"/>
        </w:numPr>
      </w:pPr>
      <w:r w:rsidRPr="00081D96">
        <w:t xml:space="preserve">Modify </w:t>
      </w:r>
      <w:proofErr w:type="spellStart"/>
      <w:r w:rsidRPr="00081D96">
        <w:t>DataPointRenderer</w:t>
      </w:r>
      <w:proofErr w:type="spellEnd"/>
      <w:r w:rsidRPr="00081D96">
        <w:t xml:space="preserve"> to use the context</w:t>
      </w:r>
    </w:p>
    <w:p w14:paraId="20FD0B4C" w14:textId="77777777" w:rsidR="00081D96" w:rsidRPr="00081D96" w:rsidRDefault="00081D96" w:rsidP="00081D96">
      <w:pPr>
        <w:numPr>
          <w:ilvl w:val="0"/>
          <w:numId w:val="10"/>
        </w:numPr>
      </w:pPr>
      <w:r w:rsidRPr="00081D96">
        <w:t>Update visualization components</w:t>
      </w:r>
    </w:p>
    <w:p w14:paraId="26A7217A" w14:textId="77777777" w:rsidR="00081D96" w:rsidRPr="00081D96" w:rsidRDefault="00081D96" w:rsidP="00081D96">
      <w:pPr>
        <w:numPr>
          <w:ilvl w:val="0"/>
          <w:numId w:val="10"/>
        </w:numPr>
      </w:pPr>
      <w:r w:rsidRPr="00081D96">
        <w:t>Update reporting components</w:t>
      </w:r>
    </w:p>
    <w:p w14:paraId="74BC0801" w14:textId="77777777" w:rsidR="00081D96" w:rsidRPr="00081D96" w:rsidRDefault="00081D96" w:rsidP="00081D96">
      <w:pPr>
        <w:numPr>
          <w:ilvl w:val="0"/>
          <w:numId w:val="10"/>
        </w:numPr>
      </w:pPr>
      <w:r w:rsidRPr="00081D96">
        <w:t>Enhance export functionality</w:t>
      </w:r>
    </w:p>
    <w:p w14:paraId="6C8C0187" w14:textId="77777777" w:rsidR="00081D96" w:rsidRPr="00081D96" w:rsidRDefault="00081D96" w:rsidP="00081D96">
      <w:pPr>
        <w:numPr>
          <w:ilvl w:val="0"/>
          <w:numId w:val="10"/>
        </w:numPr>
      </w:pPr>
      <w:r w:rsidRPr="00081D96">
        <w:t>Test entire flow and fix any issues</w:t>
      </w:r>
    </w:p>
    <w:p w14:paraId="522378ED" w14:textId="77777777" w:rsidR="00081D96" w:rsidRPr="00081D96" w:rsidRDefault="00081D96" w:rsidP="00081D96">
      <w:pPr>
        <w:rPr>
          <w:b/>
          <w:bCs/>
        </w:rPr>
      </w:pPr>
      <w:r w:rsidRPr="00081D96">
        <w:rPr>
          <w:b/>
          <w:bCs/>
        </w:rPr>
        <w:t>Expected Impact</w:t>
      </w:r>
    </w:p>
    <w:p w14:paraId="35E2F0B1" w14:textId="77777777" w:rsidR="00081D96" w:rsidRPr="00081D96" w:rsidRDefault="00081D96" w:rsidP="00081D96">
      <w:r w:rsidRPr="00081D96">
        <w:t>This implementation will ensure that users see consistent data across all parts of the application, particularly:</w:t>
      </w:r>
    </w:p>
    <w:p w14:paraId="5E3892E9" w14:textId="77777777" w:rsidR="00081D96" w:rsidRPr="00081D96" w:rsidRDefault="00081D96" w:rsidP="00081D96">
      <w:pPr>
        <w:numPr>
          <w:ilvl w:val="0"/>
          <w:numId w:val="11"/>
        </w:numPr>
      </w:pPr>
      <w:r w:rsidRPr="00081D96">
        <w:t>Quadrant distributions will match exactly between visualization and reports</w:t>
      </w:r>
    </w:p>
    <w:p w14:paraId="3B68E1F7" w14:textId="77777777" w:rsidR="00081D96" w:rsidRPr="00081D96" w:rsidRDefault="00081D96" w:rsidP="00081D96">
      <w:pPr>
        <w:numPr>
          <w:ilvl w:val="0"/>
          <w:numId w:val="11"/>
        </w:numPr>
      </w:pPr>
      <w:r w:rsidRPr="00081D96">
        <w:t>Manual reassignments will persist throughout the application</w:t>
      </w:r>
    </w:p>
    <w:p w14:paraId="41B19B18" w14:textId="77777777" w:rsidR="00081D96" w:rsidRPr="00081D96" w:rsidRDefault="00081D96" w:rsidP="00081D96">
      <w:pPr>
        <w:numPr>
          <w:ilvl w:val="0"/>
          <w:numId w:val="11"/>
        </w:numPr>
      </w:pPr>
      <w:r w:rsidRPr="00081D96">
        <w:t>Exports will accurately reflect the user's customizations</w:t>
      </w:r>
    </w:p>
    <w:p w14:paraId="6B3D868C" w14:textId="77777777" w:rsidR="00E67F38" w:rsidRDefault="00E67F38"/>
    <w:sectPr w:rsidR="00E67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61288"/>
    <w:multiLevelType w:val="multilevel"/>
    <w:tmpl w:val="407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A7BE8"/>
    <w:multiLevelType w:val="multilevel"/>
    <w:tmpl w:val="A466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A6209"/>
    <w:multiLevelType w:val="multilevel"/>
    <w:tmpl w:val="5AEA1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71009"/>
    <w:multiLevelType w:val="multilevel"/>
    <w:tmpl w:val="95B2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106F8"/>
    <w:multiLevelType w:val="multilevel"/>
    <w:tmpl w:val="2D06B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633690"/>
    <w:multiLevelType w:val="multilevel"/>
    <w:tmpl w:val="DBDE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D0A89"/>
    <w:multiLevelType w:val="multilevel"/>
    <w:tmpl w:val="B788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A687C"/>
    <w:multiLevelType w:val="multilevel"/>
    <w:tmpl w:val="4D68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50136"/>
    <w:multiLevelType w:val="multilevel"/>
    <w:tmpl w:val="229A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95423"/>
    <w:multiLevelType w:val="multilevel"/>
    <w:tmpl w:val="0402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B3D2A"/>
    <w:multiLevelType w:val="multilevel"/>
    <w:tmpl w:val="55700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6716544">
    <w:abstractNumId w:val="10"/>
  </w:num>
  <w:num w:numId="2" w16cid:durableId="1074887813">
    <w:abstractNumId w:val="7"/>
  </w:num>
  <w:num w:numId="3" w16cid:durableId="601643536">
    <w:abstractNumId w:val="4"/>
  </w:num>
  <w:num w:numId="4" w16cid:durableId="1551183739">
    <w:abstractNumId w:val="5"/>
  </w:num>
  <w:num w:numId="5" w16cid:durableId="1083337013">
    <w:abstractNumId w:val="0"/>
  </w:num>
  <w:num w:numId="6" w16cid:durableId="2059938203">
    <w:abstractNumId w:val="8"/>
  </w:num>
  <w:num w:numId="7" w16cid:durableId="1179347223">
    <w:abstractNumId w:val="6"/>
  </w:num>
  <w:num w:numId="8" w16cid:durableId="479930781">
    <w:abstractNumId w:val="9"/>
  </w:num>
  <w:num w:numId="9" w16cid:durableId="1416517818">
    <w:abstractNumId w:val="1"/>
  </w:num>
  <w:num w:numId="10" w16cid:durableId="688262058">
    <w:abstractNumId w:val="2"/>
  </w:num>
  <w:num w:numId="11" w16cid:durableId="1984501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96"/>
    <w:rsid w:val="00081D96"/>
    <w:rsid w:val="001F605B"/>
    <w:rsid w:val="004D5331"/>
    <w:rsid w:val="00827441"/>
    <w:rsid w:val="00C73898"/>
    <w:rsid w:val="00D66F9F"/>
    <w:rsid w:val="00E60B11"/>
    <w:rsid w:val="00E67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8FF768"/>
  <w15:chartTrackingRefBased/>
  <w15:docId w15:val="{B92B22FB-0359-41A7-A6BD-5E91F906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B11"/>
  </w:style>
  <w:style w:type="paragraph" w:styleId="Heading1">
    <w:name w:val="heading 1"/>
    <w:basedOn w:val="Normal"/>
    <w:next w:val="Normal"/>
    <w:link w:val="Heading1Char"/>
    <w:uiPriority w:val="9"/>
    <w:qFormat/>
    <w:rsid w:val="00081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D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D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D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D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TITLE">
    <w:name w:val="PART TITLE"/>
    <w:basedOn w:val="Normal"/>
    <w:qFormat/>
    <w:rsid w:val="00827441"/>
    <w:pPr>
      <w:spacing w:before="480" w:after="480" w:line="240" w:lineRule="auto"/>
      <w:jc w:val="center"/>
    </w:pPr>
    <w:rPr>
      <w:rFonts w:ascii="Garamond" w:hAnsi="Garamond"/>
      <w:b/>
      <w:sz w:val="48"/>
    </w:rPr>
  </w:style>
  <w:style w:type="paragraph" w:customStyle="1" w:styleId="Footnote">
    <w:name w:val="Footnote"/>
    <w:basedOn w:val="FootnoteText"/>
    <w:qFormat/>
    <w:rsid w:val="00827441"/>
    <w:rPr>
      <w:rFonts w:ascii="Garamond" w:hAnsi="Garamond"/>
      <w:i/>
      <w:iCs/>
    </w:rPr>
  </w:style>
  <w:style w:type="paragraph" w:styleId="FootnoteText">
    <w:name w:val="footnote text"/>
    <w:basedOn w:val="Normal"/>
    <w:link w:val="FootnoteTextChar"/>
    <w:uiPriority w:val="99"/>
    <w:semiHidden/>
    <w:unhideWhenUsed/>
    <w:rsid w:val="008274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7441"/>
    <w:rPr>
      <w:sz w:val="20"/>
      <w:szCs w:val="20"/>
    </w:rPr>
  </w:style>
  <w:style w:type="character" w:customStyle="1" w:styleId="Heading1Char">
    <w:name w:val="Heading 1 Char"/>
    <w:basedOn w:val="DefaultParagraphFont"/>
    <w:link w:val="Heading1"/>
    <w:uiPriority w:val="9"/>
    <w:rsid w:val="00081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D96"/>
    <w:rPr>
      <w:rFonts w:eastAsiaTheme="majorEastAsia" w:cstheme="majorBidi"/>
      <w:color w:val="272727" w:themeColor="text1" w:themeTint="D8"/>
    </w:rPr>
  </w:style>
  <w:style w:type="paragraph" w:styleId="Title">
    <w:name w:val="Title"/>
    <w:basedOn w:val="Normal"/>
    <w:next w:val="Normal"/>
    <w:link w:val="TitleChar"/>
    <w:uiPriority w:val="10"/>
    <w:qFormat/>
    <w:rsid w:val="00081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D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D96"/>
    <w:pPr>
      <w:spacing w:before="160"/>
      <w:jc w:val="center"/>
    </w:pPr>
    <w:rPr>
      <w:i/>
      <w:iCs/>
      <w:color w:val="404040" w:themeColor="text1" w:themeTint="BF"/>
    </w:rPr>
  </w:style>
  <w:style w:type="character" w:customStyle="1" w:styleId="QuoteChar">
    <w:name w:val="Quote Char"/>
    <w:basedOn w:val="DefaultParagraphFont"/>
    <w:link w:val="Quote"/>
    <w:uiPriority w:val="29"/>
    <w:rsid w:val="00081D96"/>
    <w:rPr>
      <w:i/>
      <w:iCs/>
      <w:color w:val="404040" w:themeColor="text1" w:themeTint="BF"/>
    </w:rPr>
  </w:style>
  <w:style w:type="paragraph" w:styleId="ListParagraph">
    <w:name w:val="List Paragraph"/>
    <w:basedOn w:val="Normal"/>
    <w:uiPriority w:val="34"/>
    <w:qFormat/>
    <w:rsid w:val="00081D96"/>
    <w:pPr>
      <w:ind w:left="720"/>
      <w:contextualSpacing/>
    </w:pPr>
  </w:style>
  <w:style w:type="character" w:styleId="IntenseEmphasis">
    <w:name w:val="Intense Emphasis"/>
    <w:basedOn w:val="DefaultParagraphFont"/>
    <w:uiPriority w:val="21"/>
    <w:qFormat/>
    <w:rsid w:val="00081D96"/>
    <w:rPr>
      <w:i/>
      <w:iCs/>
      <w:color w:val="0F4761" w:themeColor="accent1" w:themeShade="BF"/>
    </w:rPr>
  </w:style>
  <w:style w:type="paragraph" w:styleId="IntenseQuote">
    <w:name w:val="Intense Quote"/>
    <w:basedOn w:val="Normal"/>
    <w:next w:val="Normal"/>
    <w:link w:val="IntenseQuoteChar"/>
    <w:uiPriority w:val="30"/>
    <w:qFormat/>
    <w:rsid w:val="00081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D96"/>
    <w:rPr>
      <w:i/>
      <w:iCs/>
      <w:color w:val="0F4761" w:themeColor="accent1" w:themeShade="BF"/>
    </w:rPr>
  </w:style>
  <w:style w:type="character" w:styleId="IntenseReference">
    <w:name w:val="Intense Reference"/>
    <w:basedOn w:val="DefaultParagraphFont"/>
    <w:uiPriority w:val="32"/>
    <w:qFormat/>
    <w:rsid w:val="00081D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3282965">
      <w:bodyDiv w:val="1"/>
      <w:marLeft w:val="0"/>
      <w:marRight w:val="0"/>
      <w:marTop w:val="0"/>
      <w:marBottom w:val="0"/>
      <w:divBdr>
        <w:top w:val="none" w:sz="0" w:space="0" w:color="auto"/>
        <w:left w:val="none" w:sz="0" w:space="0" w:color="auto"/>
        <w:bottom w:val="none" w:sz="0" w:space="0" w:color="auto"/>
        <w:right w:val="none" w:sz="0" w:space="0" w:color="auto"/>
      </w:divBdr>
      <w:divsChild>
        <w:div w:id="1456020906">
          <w:marLeft w:val="0"/>
          <w:marRight w:val="0"/>
          <w:marTop w:val="0"/>
          <w:marBottom w:val="0"/>
          <w:divBdr>
            <w:top w:val="none" w:sz="0" w:space="0" w:color="auto"/>
            <w:left w:val="none" w:sz="0" w:space="0" w:color="auto"/>
            <w:bottom w:val="none" w:sz="0" w:space="0" w:color="auto"/>
            <w:right w:val="none" w:sz="0" w:space="0" w:color="auto"/>
          </w:divBdr>
          <w:divsChild>
            <w:div w:id="784806246">
              <w:marLeft w:val="0"/>
              <w:marRight w:val="0"/>
              <w:marTop w:val="0"/>
              <w:marBottom w:val="0"/>
              <w:divBdr>
                <w:top w:val="none" w:sz="0" w:space="0" w:color="auto"/>
                <w:left w:val="none" w:sz="0" w:space="0" w:color="auto"/>
                <w:bottom w:val="none" w:sz="0" w:space="0" w:color="auto"/>
                <w:right w:val="none" w:sz="0" w:space="0" w:color="auto"/>
              </w:divBdr>
            </w:div>
            <w:div w:id="732580578">
              <w:marLeft w:val="0"/>
              <w:marRight w:val="0"/>
              <w:marTop w:val="0"/>
              <w:marBottom w:val="0"/>
              <w:divBdr>
                <w:top w:val="none" w:sz="0" w:space="0" w:color="auto"/>
                <w:left w:val="none" w:sz="0" w:space="0" w:color="auto"/>
                <w:bottom w:val="none" w:sz="0" w:space="0" w:color="auto"/>
                <w:right w:val="none" w:sz="0" w:space="0" w:color="auto"/>
              </w:divBdr>
            </w:div>
          </w:divsChild>
        </w:div>
        <w:div w:id="1323855781">
          <w:marLeft w:val="0"/>
          <w:marRight w:val="0"/>
          <w:marTop w:val="0"/>
          <w:marBottom w:val="0"/>
          <w:divBdr>
            <w:top w:val="none" w:sz="0" w:space="0" w:color="auto"/>
            <w:left w:val="none" w:sz="0" w:space="0" w:color="auto"/>
            <w:bottom w:val="none" w:sz="0" w:space="0" w:color="auto"/>
            <w:right w:val="none" w:sz="0" w:space="0" w:color="auto"/>
          </w:divBdr>
          <w:divsChild>
            <w:div w:id="335117995">
              <w:marLeft w:val="0"/>
              <w:marRight w:val="0"/>
              <w:marTop w:val="0"/>
              <w:marBottom w:val="0"/>
              <w:divBdr>
                <w:top w:val="none" w:sz="0" w:space="0" w:color="auto"/>
                <w:left w:val="none" w:sz="0" w:space="0" w:color="auto"/>
                <w:bottom w:val="none" w:sz="0" w:space="0" w:color="auto"/>
                <w:right w:val="none" w:sz="0" w:space="0" w:color="auto"/>
              </w:divBdr>
            </w:div>
            <w:div w:id="465314176">
              <w:marLeft w:val="0"/>
              <w:marRight w:val="0"/>
              <w:marTop w:val="0"/>
              <w:marBottom w:val="0"/>
              <w:divBdr>
                <w:top w:val="none" w:sz="0" w:space="0" w:color="auto"/>
                <w:left w:val="none" w:sz="0" w:space="0" w:color="auto"/>
                <w:bottom w:val="none" w:sz="0" w:space="0" w:color="auto"/>
                <w:right w:val="none" w:sz="0" w:space="0" w:color="auto"/>
              </w:divBdr>
            </w:div>
          </w:divsChild>
        </w:div>
        <w:div w:id="1714186248">
          <w:marLeft w:val="0"/>
          <w:marRight w:val="0"/>
          <w:marTop w:val="0"/>
          <w:marBottom w:val="0"/>
          <w:divBdr>
            <w:top w:val="none" w:sz="0" w:space="0" w:color="auto"/>
            <w:left w:val="none" w:sz="0" w:space="0" w:color="auto"/>
            <w:bottom w:val="none" w:sz="0" w:space="0" w:color="auto"/>
            <w:right w:val="none" w:sz="0" w:space="0" w:color="auto"/>
          </w:divBdr>
          <w:divsChild>
            <w:div w:id="1128016022">
              <w:marLeft w:val="0"/>
              <w:marRight w:val="0"/>
              <w:marTop w:val="0"/>
              <w:marBottom w:val="0"/>
              <w:divBdr>
                <w:top w:val="none" w:sz="0" w:space="0" w:color="auto"/>
                <w:left w:val="none" w:sz="0" w:space="0" w:color="auto"/>
                <w:bottom w:val="none" w:sz="0" w:space="0" w:color="auto"/>
                <w:right w:val="none" w:sz="0" w:space="0" w:color="auto"/>
              </w:divBdr>
            </w:div>
            <w:div w:id="734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0184">
      <w:bodyDiv w:val="1"/>
      <w:marLeft w:val="0"/>
      <w:marRight w:val="0"/>
      <w:marTop w:val="0"/>
      <w:marBottom w:val="0"/>
      <w:divBdr>
        <w:top w:val="none" w:sz="0" w:space="0" w:color="auto"/>
        <w:left w:val="none" w:sz="0" w:space="0" w:color="auto"/>
        <w:bottom w:val="none" w:sz="0" w:space="0" w:color="auto"/>
        <w:right w:val="none" w:sz="0" w:space="0" w:color="auto"/>
      </w:divBdr>
      <w:divsChild>
        <w:div w:id="779451063">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0"/>
              <w:marBottom w:val="0"/>
              <w:divBdr>
                <w:top w:val="none" w:sz="0" w:space="0" w:color="auto"/>
                <w:left w:val="none" w:sz="0" w:space="0" w:color="auto"/>
                <w:bottom w:val="none" w:sz="0" w:space="0" w:color="auto"/>
                <w:right w:val="none" w:sz="0" w:space="0" w:color="auto"/>
              </w:divBdr>
            </w:div>
            <w:div w:id="1529904962">
              <w:marLeft w:val="0"/>
              <w:marRight w:val="0"/>
              <w:marTop w:val="0"/>
              <w:marBottom w:val="0"/>
              <w:divBdr>
                <w:top w:val="none" w:sz="0" w:space="0" w:color="auto"/>
                <w:left w:val="none" w:sz="0" w:space="0" w:color="auto"/>
                <w:bottom w:val="none" w:sz="0" w:space="0" w:color="auto"/>
                <w:right w:val="none" w:sz="0" w:space="0" w:color="auto"/>
              </w:divBdr>
            </w:div>
          </w:divsChild>
        </w:div>
        <w:div w:id="625935088">
          <w:marLeft w:val="0"/>
          <w:marRight w:val="0"/>
          <w:marTop w:val="0"/>
          <w:marBottom w:val="0"/>
          <w:divBdr>
            <w:top w:val="none" w:sz="0" w:space="0" w:color="auto"/>
            <w:left w:val="none" w:sz="0" w:space="0" w:color="auto"/>
            <w:bottom w:val="none" w:sz="0" w:space="0" w:color="auto"/>
            <w:right w:val="none" w:sz="0" w:space="0" w:color="auto"/>
          </w:divBdr>
          <w:divsChild>
            <w:div w:id="1892762023">
              <w:marLeft w:val="0"/>
              <w:marRight w:val="0"/>
              <w:marTop w:val="0"/>
              <w:marBottom w:val="0"/>
              <w:divBdr>
                <w:top w:val="none" w:sz="0" w:space="0" w:color="auto"/>
                <w:left w:val="none" w:sz="0" w:space="0" w:color="auto"/>
                <w:bottom w:val="none" w:sz="0" w:space="0" w:color="auto"/>
                <w:right w:val="none" w:sz="0" w:space="0" w:color="auto"/>
              </w:divBdr>
            </w:div>
            <w:div w:id="931595162">
              <w:marLeft w:val="0"/>
              <w:marRight w:val="0"/>
              <w:marTop w:val="0"/>
              <w:marBottom w:val="0"/>
              <w:divBdr>
                <w:top w:val="none" w:sz="0" w:space="0" w:color="auto"/>
                <w:left w:val="none" w:sz="0" w:space="0" w:color="auto"/>
                <w:bottom w:val="none" w:sz="0" w:space="0" w:color="auto"/>
                <w:right w:val="none" w:sz="0" w:space="0" w:color="auto"/>
              </w:divBdr>
            </w:div>
          </w:divsChild>
        </w:div>
        <w:div w:id="495196964">
          <w:marLeft w:val="0"/>
          <w:marRight w:val="0"/>
          <w:marTop w:val="0"/>
          <w:marBottom w:val="0"/>
          <w:divBdr>
            <w:top w:val="none" w:sz="0" w:space="0" w:color="auto"/>
            <w:left w:val="none" w:sz="0" w:space="0" w:color="auto"/>
            <w:bottom w:val="none" w:sz="0" w:space="0" w:color="auto"/>
            <w:right w:val="none" w:sz="0" w:space="0" w:color="auto"/>
          </w:divBdr>
          <w:divsChild>
            <w:div w:id="824399599">
              <w:marLeft w:val="0"/>
              <w:marRight w:val="0"/>
              <w:marTop w:val="0"/>
              <w:marBottom w:val="0"/>
              <w:divBdr>
                <w:top w:val="none" w:sz="0" w:space="0" w:color="auto"/>
                <w:left w:val="none" w:sz="0" w:space="0" w:color="auto"/>
                <w:bottom w:val="none" w:sz="0" w:space="0" w:color="auto"/>
                <w:right w:val="none" w:sz="0" w:space="0" w:color="auto"/>
              </w:divBdr>
            </w:div>
            <w:div w:id="7998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518</Words>
  <Characters>3921</Characters>
  <Application>Microsoft Office Word</Application>
  <DocSecurity>0</DocSecurity>
  <Lines>118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Valle</dc:creator>
  <cp:keywords/>
  <dc:description/>
  <cp:lastModifiedBy>Jaime Valle</cp:lastModifiedBy>
  <cp:revision>1</cp:revision>
  <dcterms:created xsi:type="dcterms:W3CDTF">2025-05-06T13:50:00Z</dcterms:created>
  <dcterms:modified xsi:type="dcterms:W3CDTF">2025-05-06T14:02:00Z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b148fc88-2110-4622-b211-88f1a67e625e</vt:lpwstr>
  </property>
</Properties>
</file>