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52" w:type="dxa"/>
        <w:jc w:val="start"/>
        <w:tblInd w:w="151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 w:firstRow="1" w:noVBand="0" w:lastRow="1" w:firstColumn="1" w:lastColumn="1" w:noHBand="0"/>
      </w:tblPr>
      <w:tblGrid>
        <w:gridCol w:w="1250"/>
        <w:gridCol w:w="6827"/>
        <w:gridCol w:w="1275"/>
      </w:tblGrid>
      <w:tr>
        <w:trPr>
          <w:trHeight w:val="855" w:hRule="atLeast"/>
        </w:trPr>
        <w:tc>
          <w:tcPr>
            <w:tcW w:w="1250" w:type="dxa"/>
            <w:tcBorders/>
          </w:tcPr>
          <w:p>
            <w:pPr>
              <w:pStyle w:val="TableParagraph"/>
              <w:spacing w:lineRule="auto" w:line="240"/>
              <w:ind w:start="200"/>
              <w:rPr>
                <w:sz w:val="20"/>
              </w:rPr>
            </w:pPr>
            <w:r>
              <w:rPr/>
              <w:drawing>
                <wp:inline distT="0" distB="0" distL="0" distR="0">
                  <wp:extent cx="529590" cy="520065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590" cy="520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7" w:type="dxa"/>
            <w:tcBorders/>
          </w:tcPr>
          <w:p>
            <w:pPr>
              <w:pStyle w:val="TableParagraph"/>
              <w:spacing w:lineRule="exact" w:line="340" w:before="3" w:after="0"/>
              <w:ind w:start="205" w:end="121"/>
              <w:jc w:val="center"/>
              <w:rPr>
                <w:rFonts w:ascii="Calibri" w:hAnsi="Calibri"/>
                <w:b/>
                <w:sz w:val="28"/>
              </w:rPr>
            </w:pPr>
            <w:r>
              <w:rPr>
                <w:rFonts w:ascii="Calibri" w:hAnsi="Calibri"/>
                <w:b/>
                <w:sz w:val="28"/>
              </w:rPr>
              <w:t>CHAROTAR</w:t>
            </w:r>
            <w:r>
              <w:rPr>
                <w:rFonts w:ascii="Calibri" w:hAns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UNIVERSITY</w:t>
            </w:r>
            <w:r>
              <w:rPr>
                <w:rFonts w:ascii="Calibri" w:hAnsi="Calibri"/>
                <w:b/>
                <w:spacing w:val="-10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OF</w:t>
            </w:r>
            <w:r>
              <w:rPr>
                <w:rFonts w:ascii="Calibri" w:hAnsi="Calibri"/>
                <w:b/>
                <w:spacing w:val="-1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SCIENCE</w:t>
            </w:r>
            <w:r>
              <w:rPr>
                <w:rFonts w:ascii="Calibri" w:hAns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&amp;</w:t>
            </w:r>
            <w:r>
              <w:rPr>
                <w:rFonts w:ascii="Calibri" w:hAnsi="Calibri"/>
                <w:b/>
                <w:spacing w:val="-11"/>
                <w:sz w:val="28"/>
              </w:rPr>
              <w:t xml:space="preserve"> </w:t>
            </w:r>
            <w:r>
              <w:rPr>
                <w:rFonts w:ascii="Calibri" w:hAnsi="Calibri"/>
                <w:b/>
                <w:sz w:val="28"/>
              </w:rPr>
              <w:t>TECHNOLOGY</w:t>
            </w:r>
          </w:p>
          <w:p>
            <w:pPr>
              <w:pStyle w:val="TableParagraph"/>
              <w:spacing w:lineRule="exact" w:line="267"/>
              <w:ind w:start="205" w:end="19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DEVANG</w:t>
            </w:r>
            <w:r>
              <w:rPr>
                <w:rFonts w:ascii="Calibri" w:hAnsi="Calibri"/>
                <w:b/>
                <w:spacing w:val="-7"/>
              </w:rPr>
              <w:t xml:space="preserve"> </w:t>
            </w:r>
            <w:r>
              <w:rPr>
                <w:rFonts w:ascii="Calibri" w:hAnsi="Calibri"/>
                <w:b/>
              </w:rPr>
              <w:t>PATEL</w:t>
            </w:r>
            <w:r>
              <w:rPr>
                <w:rFonts w:ascii="Calibri" w:hAnsi="Calibri"/>
                <w:b/>
                <w:spacing w:val="-5"/>
              </w:rPr>
              <w:t xml:space="preserve"> </w:t>
            </w:r>
            <w:r>
              <w:rPr>
                <w:rFonts w:ascii="Calibri" w:hAnsi="Calibri"/>
                <w:b/>
              </w:rPr>
              <w:t>INSTITUTE</w:t>
            </w:r>
            <w:r>
              <w:rPr>
                <w:rFonts w:ascii="Calibri" w:hAnsi="Calibri"/>
                <w:b/>
                <w:spacing w:val="-9"/>
              </w:rPr>
              <w:t xml:space="preserve"> </w:t>
            </w:r>
            <w:r>
              <w:rPr>
                <w:rFonts w:ascii="Calibri" w:hAnsi="Calibri"/>
                <w:b/>
              </w:rPr>
              <w:t>OF</w:t>
            </w:r>
            <w:r>
              <w:rPr>
                <w:rFonts w:ascii="Calibri" w:hAnsi="Calibri"/>
                <w:b/>
                <w:spacing w:val="-6"/>
              </w:rPr>
              <w:t xml:space="preserve"> </w:t>
            </w:r>
            <w:r>
              <w:rPr>
                <w:rFonts w:ascii="Calibri" w:hAnsi="Calibri"/>
                <w:b/>
              </w:rPr>
              <w:t>ADVANCE</w:t>
            </w:r>
            <w:r>
              <w:rPr>
                <w:rFonts w:ascii="Calibri" w:hAnsi="Calibri"/>
                <w:b/>
                <w:spacing w:val="-6"/>
              </w:rPr>
              <w:t xml:space="preserve"> </w:t>
            </w:r>
            <w:r>
              <w:rPr>
                <w:rFonts w:ascii="Calibri" w:hAnsi="Calibri"/>
                <w:b/>
              </w:rPr>
              <w:t>TECHNOLOGY</w:t>
            </w:r>
            <w:r>
              <w:rPr>
                <w:rFonts w:ascii="Calibri" w:hAnsi="Calibri"/>
                <w:b/>
                <w:spacing w:val="-4"/>
              </w:rPr>
              <w:t xml:space="preserve"> </w:t>
            </w:r>
            <w:r>
              <w:rPr>
                <w:rFonts w:ascii="Calibri" w:hAnsi="Calibri"/>
                <w:b/>
              </w:rPr>
              <w:t>AND</w:t>
            </w:r>
            <w:r>
              <w:rPr>
                <w:rFonts w:ascii="Calibri" w:hAnsi="Calibri"/>
                <w:b/>
                <w:spacing w:val="-6"/>
              </w:rPr>
              <w:t xml:space="preserve"> </w:t>
            </w:r>
            <w:r>
              <w:rPr>
                <w:rFonts w:ascii="Calibri" w:hAnsi="Calibri"/>
                <w:b/>
              </w:rPr>
              <w:t>RESEARCH</w:t>
            </w:r>
          </w:p>
        </w:tc>
        <w:tc>
          <w:tcPr>
            <w:tcW w:w="1275" w:type="dxa"/>
            <w:tcBorders/>
          </w:tcPr>
          <w:p>
            <w:pPr>
              <w:pStyle w:val="TableParagraph"/>
              <w:spacing w:lineRule="auto" w:line="240"/>
              <w:ind w:start="200"/>
              <w:rPr>
                <w:sz w:val="20"/>
              </w:rPr>
            </w:pPr>
            <w:r>
              <w:rPr/>
              <w:drawing>
                <wp:inline distT="0" distB="0" distL="0" distR="0">
                  <wp:extent cx="544195" cy="532765"/>
                  <wp:effectExtent l="0" t="0" r="0" b="0"/>
                  <wp:docPr id="2" name="image2.jpeg" descr="D:\Admin\coursefile\Depstar-final-logo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jpeg" descr="D:\Admin\coursefile\Depstar-final-logo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195" cy="532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Title"/>
        <w:rPr/>
      </w:pPr>
      <w:r>
        <w:rPr/>
        <w:t>WEEKLY</w:t>
      </w:r>
      <w:r>
        <w:rPr>
          <w:spacing w:val="-7"/>
        </w:rPr>
        <w:t xml:space="preserve"> </w:t>
      </w:r>
      <w:r>
        <w:rPr/>
        <w:t>REPORT</w:t>
      </w:r>
    </w:p>
    <w:p>
      <w:pPr>
        <w:pStyle w:val="BodyText"/>
        <w:spacing w:lineRule="auto" w:line="238" w:before="2" w:after="0"/>
        <w:ind w:start="278" w:end="301"/>
        <w:jc w:val="center"/>
        <w:rPr/>
      </w:pPr>
      <w:r>
        <w:rPr/>
      </w:r>
    </w:p>
    <w:p>
      <w:pPr>
        <w:pStyle w:val="Normal"/>
        <w:spacing w:before="6" w:after="1"/>
        <w:rPr>
          <w:i/>
        </w:rPr>
      </w:pPr>
      <w:r>
        <w:rPr>
          <w:i/>
        </w:rPr>
      </w:r>
    </w:p>
    <w:tbl>
      <w:tblPr>
        <w:tblW w:w="9403" w:type="dxa"/>
        <w:jc w:val="start"/>
        <w:tblInd w:w="115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 w:firstRow="1" w:noVBand="0" w:lastRow="1" w:firstColumn="1" w:lastColumn="1" w:noHBand="0"/>
      </w:tblPr>
      <w:tblGrid>
        <w:gridCol w:w="3713"/>
        <w:gridCol w:w="5690"/>
      </w:tblGrid>
      <w:tr>
        <w:trPr>
          <w:trHeight w:val="321" w:hRule="atLeast"/>
        </w:trPr>
        <w:tc>
          <w:tcPr>
            <w:tcW w:w="37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15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Project 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ID:</w:t>
            </w:r>
            <w:r>
              <w:rPr>
                <w:b/>
                <w:spacing w:val="-5"/>
                <w:sz w:val="28"/>
              </w:rPr>
              <w:t xml:space="preserve"> </w:t>
            </w:r>
          </w:p>
        </w:tc>
        <w:tc>
          <w:tcPr>
            <w:tcW w:w="5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hanging="0" w:start="0"/>
              <w:jc w:val="start"/>
              <w:rPr>
                <w:b/>
                <w:sz w:val="28"/>
              </w:rPr>
            </w:pPr>
            <w:r>
              <w:rPr>
                <w:b/>
                <w:sz w:val="28"/>
              </w:rPr>
              <w:t>Student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ID:</w:t>
            </w:r>
            <w:r>
              <w:rPr>
                <w:b/>
                <w:spacing w:val="-1"/>
                <w:sz w:val="28"/>
              </w:rPr>
              <w:t xml:space="preserve"> D25DCE175 , D25DCE170,                        D25DCE164</w:t>
            </w:r>
          </w:p>
        </w:tc>
      </w:tr>
      <w:tr>
        <w:trPr>
          <w:trHeight w:val="321" w:hRule="atLeast"/>
        </w:trPr>
        <w:tc>
          <w:tcPr>
            <w:tcW w:w="37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15"/>
              <w:rPr>
                <w:b/>
                <w:sz w:val="28"/>
              </w:rPr>
            </w:pPr>
            <w:r>
              <w:rPr>
                <w:b/>
                <w:sz w:val="28"/>
              </w:rPr>
              <w:t>From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Date:</w:t>
            </w:r>
            <w:r>
              <w:rPr>
                <w:b/>
                <w:spacing w:val="-5"/>
                <w:sz w:val="28"/>
              </w:rPr>
              <w:t xml:space="preserve">  </w:t>
            </w:r>
            <w:r>
              <w:rPr>
                <w:b/>
                <w:bCs/>
                <w:iCs/>
                <w:spacing w:val="-5"/>
                <w:sz w:val="31"/>
                <w:u w:val="none"/>
              </w:rPr>
              <w:t>13-07-2026</w:t>
            </w:r>
          </w:p>
        </w:tc>
        <w:tc>
          <w:tcPr>
            <w:tcW w:w="5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To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Date: </w:t>
            </w:r>
            <w:r>
              <w:rPr>
                <w:b/>
                <w:sz w:val="28"/>
              </w:rPr>
              <w:t>20</w:t>
            </w:r>
            <w:r>
              <w:rPr>
                <w:b/>
                <w:bCs/>
                <w:iCs/>
                <w:sz w:val="31"/>
                <w:u w:val="none"/>
              </w:rPr>
              <w:t>-07-2026</w:t>
            </w:r>
          </w:p>
        </w:tc>
      </w:tr>
      <w:tr>
        <w:trPr>
          <w:trHeight w:val="325" w:hRule="atLeast"/>
        </w:trPr>
        <w:tc>
          <w:tcPr>
            <w:tcW w:w="37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6"/>
              <w:ind w:start="115"/>
              <w:rPr>
                <w:b/>
                <w:sz w:val="28"/>
              </w:rPr>
            </w:pPr>
            <w:r>
              <w:rPr>
                <w:b/>
                <w:sz w:val="28"/>
              </w:rPr>
              <w:t>Semester:</w:t>
            </w:r>
            <w:r>
              <w:rPr>
                <w:b/>
                <w:spacing w:val="-6"/>
                <w:sz w:val="28"/>
              </w:rPr>
              <w:t xml:space="preserve"> 5</w:t>
            </w:r>
          </w:p>
        </w:tc>
        <w:tc>
          <w:tcPr>
            <w:tcW w:w="5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6"/>
              <w:rPr>
                <w:b/>
                <w:sz w:val="28"/>
              </w:rPr>
            </w:pPr>
            <w:r>
              <w:rPr>
                <w:b/>
                <w:sz w:val="28"/>
              </w:rPr>
              <w:t>Internship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ID:</w:t>
            </w:r>
          </w:p>
        </w:tc>
      </w:tr>
    </w:tbl>
    <w:p>
      <w:pPr>
        <w:pStyle w:val="Normal"/>
        <w:spacing w:before="7" w:after="0"/>
        <w:rPr>
          <w:i/>
          <w:sz w:val="31"/>
        </w:rPr>
      </w:pPr>
      <w:r>
        <w:rPr>
          <w:i/>
          <w:sz w:val="31"/>
        </w:rPr>
      </w:r>
    </w:p>
    <w:p>
      <w:pPr>
        <w:pStyle w:val="Normal"/>
        <w:spacing w:before="7" w:after="0"/>
        <w:rPr>
          <w:b/>
          <w:bCs/>
          <w:iCs/>
          <w:sz w:val="31"/>
        </w:rPr>
      </w:pPr>
      <w:r>
        <w:rPr>
          <w:b/>
          <w:bCs/>
          <w:iCs/>
          <w:sz w:val="31"/>
        </w:rPr>
        <w:t xml:space="preserve">Work done from Date: </w:t>
      </w:r>
      <w:r>
        <w:rPr>
          <w:b/>
          <w:bCs/>
          <w:iCs/>
          <w:sz w:val="31"/>
          <w:u w:val="single"/>
        </w:rPr>
        <w:t>13-07-2026</w:t>
      </w:r>
      <w:r>
        <w:rPr>
          <w:b/>
          <w:bCs/>
          <w:iCs/>
          <w:sz w:val="31"/>
        </w:rPr>
        <w:t xml:space="preserve"> to</w:t>
      </w:r>
      <w:r>
        <w:rPr>
          <w:b/>
          <w:bCs/>
          <w:iCs/>
          <w:sz w:val="31"/>
          <w:u w:val="single"/>
        </w:rPr>
        <w:t xml:space="preserve"> </w:t>
      </w:r>
      <w:r>
        <w:rPr>
          <w:b/>
          <w:bCs/>
          <w:iCs/>
          <w:sz w:val="31"/>
          <w:u w:val="single"/>
        </w:rPr>
        <w:t>20</w:t>
      </w:r>
      <w:r>
        <w:rPr>
          <w:b/>
          <w:bCs/>
          <w:iCs/>
          <w:sz w:val="31"/>
          <w:u w:val="single"/>
        </w:rPr>
        <w:t>-07-2026</w:t>
      </w:r>
    </w:p>
    <w:p>
      <w:pPr>
        <w:pStyle w:val="Heading1"/>
        <w:rPr>
          <w:b w:val="false"/>
          <w:bCs w:val="false"/>
          <w:u w:val="thick" w:color="000000"/>
        </w:rPr>
      </w:pPr>
      <w:r>
        <w:rPr>
          <w:b w:val="false"/>
          <w:bCs w:val="false"/>
          <w:u w:val="thick" w:color="000000"/>
        </w:rPr>
      </w:r>
    </w:p>
    <w:tbl>
      <w:tblPr>
        <w:tblStyle w:val="TableGrid"/>
        <w:tblW w:w="9929" w:type="dxa"/>
        <w:jc w:val="start"/>
        <w:tblInd w:w="-73" w:type="dxa"/>
        <w:tblLayout w:type="fixed"/>
        <w:tblCellMar>
          <w:top w:w="113" w:type="dxa"/>
          <w:start w:w="113" w:type="dxa"/>
          <w:bottom w:w="113" w:type="dxa"/>
          <w:end w:w="113" w:type="dxa"/>
        </w:tblCellMar>
        <w:tblLook w:val="04a0" w:firstRow="1" w:noVBand="1" w:lastRow="0" w:firstColumn="1" w:lastColumn="0" w:noHBand="0"/>
      </w:tblPr>
      <w:tblGrid>
        <w:gridCol w:w="9929"/>
      </w:tblGrid>
      <w:tr>
        <w:trPr/>
        <w:tc>
          <w:tcPr>
            <w:tcW w:w="9929" w:type="dxa"/>
            <w:tcBorders/>
          </w:tcPr>
          <w:p>
            <w:pPr>
              <w:pStyle w:val="Heading1"/>
              <w:widowControl w:val="false"/>
              <w:suppressAutoHyphens w:val="true"/>
              <w:spacing w:before="0" w:after="0"/>
              <w:ind w:start="0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 w:color="000000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 w:color="000000"/>
              </w:rPr>
            </w:r>
          </w:p>
          <w:p>
            <w:pPr>
              <w:pStyle w:val="Heading1"/>
              <w:widowControl w:val="false"/>
              <w:numPr>
                <w:ilvl w:val="0"/>
                <w:numId w:val="4"/>
              </w:numPr>
              <w:suppressAutoHyphens w:val="true"/>
              <w:spacing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 xml:space="preserve">Conducted requirement gathering and finalized the problem statement for the AWS cloud governance platform. </w:t>
            </w:r>
          </w:p>
          <w:p>
            <w:pPr>
              <w:pStyle w:val="BodyText"/>
              <w:widowControl w:val="false"/>
              <w:numPr>
                <w:ilvl w:val="0"/>
                <w:numId w:val="0"/>
              </w:numPr>
              <w:suppressAutoHyphens w:val="true"/>
              <w:spacing w:before="0" w:after="0"/>
              <w:ind w:hanging="0" w:start="720"/>
              <w:jc w:val="both"/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</w:r>
          </w:p>
          <w:p>
            <w:pPr>
              <w:pStyle w:val="BodyText"/>
              <w:widowControl w:val="false"/>
              <w:numPr>
                <w:ilvl w:val="0"/>
                <w:numId w:val="4"/>
              </w:numPr>
              <w:suppressAutoHyphens w:val="true"/>
              <w:spacing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 xml:space="preserve">Identified and scoped the four core modules: AI Architecture Advisor, Cost Monitoring &amp; Anomaly Detection, Resource Optimization Engine, and Security Posture Scanner. </w:t>
            </w:r>
          </w:p>
          <w:p>
            <w:pPr>
              <w:pStyle w:val="BodyText"/>
              <w:numPr>
                <w:ilvl w:val="0"/>
                <w:numId w:val="0"/>
              </w:numPr>
              <w:suppressAutoHyphens w:val="true"/>
              <w:ind w:hanging="0" w:start="720"/>
              <w:jc w:val="both"/>
              <w:rPr>
                <w:rFonts w:ascii="Times New Roman" w:hAnsi="Times New Roman"/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4"/>
              </w:numPr>
              <w:suppressAutoHyphens w:val="true"/>
              <w:jc w:val="both"/>
              <w:rPr>
                <w:rFonts w:ascii="Times New Roman" w:hAnsi="Times New Roman"/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sz w:val="28"/>
                <w:szCs w:val="28"/>
              </w:rPr>
              <w:t xml:space="preserve">Performed comparative study of existing cloud governance tools (AWS Cost Explorer, CloudHealth, Cloudability) to identify feature gaps and differentiation points. </w:t>
            </w:r>
          </w:p>
          <w:p>
            <w:pPr>
              <w:pStyle w:val="BodyText"/>
              <w:numPr>
                <w:ilvl w:val="0"/>
                <w:numId w:val="0"/>
              </w:numPr>
              <w:suppressAutoHyphens w:val="true"/>
              <w:ind w:hanging="0" w:start="720"/>
              <w:jc w:val="both"/>
              <w:rPr>
                <w:rFonts w:ascii="Times New Roman" w:hAnsi="Times New Roman"/>
                <w:i w:val="false"/>
                <w:iCs w:val="false"/>
                <w:sz w:val="28"/>
                <w:szCs w:val="28"/>
              </w:rPr>
            </w:pPr>
            <w:r>
              <w:rPr>
                <w:i w:val="false"/>
                <w:iCs w:val="false"/>
                <w:sz w:val="28"/>
                <w:szCs w:val="28"/>
              </w:rPr>
            </w:r>
          </w:p>
          <w:p>
            <w:pPr>
              <w:pStyle w:val="BodyText"/>
              <w:numPr>
                <w:ilvl w:val="0"/>
                <w:numId w:val="4"/>
              </w:numPr>
              <w:suppressAutoHyphens w:val="true"/>
              <w:jc w:val="both"/>
              <w:rPr>
                <w:rFonts w:ascii="Times New Roman" w:hAnsi="Times New Roman"/>
                <w:i w:val="false"/>
                <w:iCs w:val="false"/>
                <w:sz w:val="24"/>
                <w:szCs w:val="24"/>
              </w:rPr>
            </w:pPr>
            <w:r>
              <w:rPr>
                <w:i w:val="false"/>
                <w:iCs w:val="false"/>
                <w:sz w:val="28"/>
                <w:szCs w:val="28"/>
              </w:rPr>
              <w:t>Finalized the technology stack: Node.js, React, TimescaleDB, AWS SDK v3, Amazon Bedrock.</w:t>
            </w:r>
            <w:r>
              <w:rPr>
                <w:i w:val="false"/>
                <w:iCs w:val="false"/>
                <w:sz w:val="24"/>
                <w:szCs w:val="24"/>
              </w:rPr>
              <w:t xml:space="preserve"> </w:t>
            </w:r>
          </w:p>
          <w:p>
            <w:pPr>
              <w:pStyle w:val="Heading1"/>
              <w:widowControl w:val="false"/>
              <w:suppressAutoHyphens w:val="true"/>
              <w:spacing w:before="0" w:after="0"/>
              <w:ind w:start="0"/>
              <w:jc w:val="both"/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 w:color="000000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 w:color="000000"/>
              </w:rPr>
            </w:r>
          </w:p>
          <w:p>
            <w:pPr>
              <w:pStyle w:val="BodyText"/>
              <w:widowControl w:val="false"/>
              <w:suppressAutoHyphens w:val="true"/>
              <w:spacing w:before="0" w:after="0"/>
              <w:ind w:start="0"/>
              <w:jc w:val="both"/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>Finalized problem statement, target personas, and functional/non-functional scope.</w:t>
            </w:r>
          </w:p>
          <w:p>
            <w:pPr>
              <w:pStyle w:val="BodyText"/>
              <w:widowControl w:val="false"/>
              <w:suppressAutoHyphens w:val="true"/>
              <w:spacing w:before="0" w:after="0"/>
              <w:ind w:start="0"/>
              <w:jc w:val="both"/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</w:r>
          </w:p>
          <w:p>
            <w:pPr>
              <w:pStyle w:val="BodyText"/>
              <w:numPr>
                <w:ilvl w:val="0"/>
                <w:numId w:val="1"/>
              </w:numPr>
              <w:tabs>
                <w:tab w:val="clear" w:pos="720"/>
                <w:tab w:val="left" w:pos="0" w:leader="none"/>
              </w:tabs>
              <w:suppressAutoHyphens w:val="true"/>
              <w:ind w:hanging="283" w:start="720"/>
              <w:jc w:val="both"/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 xml:space="preserve">Authored PRD ; locked AI scope to Module A only (deterministic elsewhere). </w:t>
            </w:r>
          </w:p>
          <w:p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uppressAutoHyphens w:val="true"/>
              <w:ind w:hanging="283" w:start="720"/>
              <w:jc w:val="both"/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 xml:space="preserve">Catalogued requirement IDs across all 4 modules. 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uppressAutoHyphens w:val="true"/>
              <w:ind w:hanging="283" w:start="720"/>
              <w:jc w:val="both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>Drafted 13-week phased roadmap (</w:t>
            </w:r>
            <w:r>
              <w:rPr>
                <w:rStyle w:val="SourceText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>TIMELINE.md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 xml:space="preserve">) with risk analysis and buffer allocation. </w:t>
            </w:r>
          </w:p>
          <w:p>
            <w:pPr>
              <w:pStyle w:val="Heading1"/>
              <w:widowControl w:val="false"/>
              <w:suppressAutoHyphens w:val="true"/>
              <w:spacing w:before="0" w:after="0"/>
              <w:ind w:start="0"/>
              <w:jc w:val="both"/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 w:color="000000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 w:color="000000"/>
              </w:rPr>
            </w:r>
          </w:p>
          <w:tbl>
            <w:tblPr>
              <w:tblW w:w="5000" w:type="pct"/>
              <w:jc w:val="start"/>
              <w:tblInd w:w="0" w:type="dxa"/>
              <w:tblLayout w:type="fixed"/>
              <w:tblCellMar>
                <w:top w:w="113" w:type="dxa"/>
                <w:start w:w="113" w:type="dxa"/>
                <w:bottom w:w="113" w:type="dxa"/>
                <w:end w:w="113" w:type="dxa"/>
              </w:tblCellMar>
            </w:tblPr>
            <w:tblGrid>
              <w:gridCol w:w="2316"/>
              <w:gridCol w:w="2535"/>
              <w:gridCol w:w="4852"/>
            </w:tblGrid>
            <w:tr>
              <w:trPr>
                <w:trHeight w:val="396" w:hRule="atLeast"/>
              </w:trPr>
              <w:tc>
                <w:tcPr>
                  <w:tcW w:w="4851" w:type="dxa"/>
                  <w:gridSpan w:val="2"/>
                  <w:tcBorders/>
                </w:tcPr>
                <w:p>
                  <w:pPr>
                    <w:pStyle w:val="TableContents"/>
                    <w:jc w:val="start"/>
                    <w:rPr>
                      <w:rFonts w:ascii="Times New Roman" w:hAnsi="Times New Roman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4852" w:type="dxa"/>
                  <w:tcBorders/>
                </w:tcPr>
                <w:p>
                  <w:pPr>
                    <w:pStyle w:val="TableContents"/>
                    <w:jc w:val="start"/>
                    <w:rPr>
                      <w:rFonts w:ascii="Times New Roman" w:hAnsi="Times New Roman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>
                <w:trHeight w:val="111" w:hRule="atLeast"/>
              </w:trPr>
              <w:tc>
                <w:tcPr>
                  <w:tcW w:w="4851" w:type="dxa"/>
                  <w:gridSpan w:val="2"/>
                  <w:tcBorders/>
                </w:tcPr>
                <w:p>
                  <w:pPr>
                    <w:pStyle w:val="TableContents"/>
                    <w:jc w:val="start"/>
                    <w:rPr>
                      <w:rFonts w:ascii="Times New Roman" w:hAnsi="Times New Roman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r>
                </w:p>
              </w:tc>
              <w:tc>
                <w:tcPr>
                  <w:tcW w:w="4852" w:type="dxa"/>
                  <w:tcBorders/>
                </w:tcPr>
                <w:p>
                  <w:pPr>
                    <w:pStyle w:val="TableContents"/>
                    <w:jc w:val="start"/>
                    <w:rPr>
                      <w:rFonts w:ascii="Times New Roman" w:hAnsi="Times New Roman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r>
                </w:p>
              </w:tc>
            </w:tr>
            <w:tr>
              <w:trPr/>
              <w:tc>
                <w:tcPr>
                  <w:tcW w:w="23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Times New Roman" w:hAnsi="Times New Roman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8"/>
                      <w:szCs w:val="28"/>
                      <w:u w:val="none"/>
                    </w:rPr>
                  </w:pPr>
                  <w:r>
                    <w:rPr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8"/>
                      <w:szCs w:val="28"/>
                      <w:u w:val="none"/>
                    </w:rPr>
                    <w:t xml:space="preserve">Module </w:t>
                  </w:r>
                </w:p>
              </w:tc>
              <w:tc>
                <w:tcPr>
                  <w:tcW w:w="7387" w:type="dxa"/>
                  <w:gridSpan w:val="2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Times New Roman" w:hAnsi="Times New Roman"/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8"/>
                      <w:szCs w:val="28"/>
                      <w:u w:val="none"/>
                    </w:rPr>
                  </w:pPr>
                  <w:r>
                    <w:rPr>
                      <w:b/>
                      <w:bCs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8"/>
                      <w:szCs w:val="28"/>
                      <w:u w:val="none"/>
                    </w:rPr>
                    <w:t xml:space="preserve">Key Requirements </w:t>
                  </w:r>
                </w:p>
              </w:tc>
            </w:tr>
            <w:tr>
              <w:trPr/>
              <w:tc>
                <w:tcPr>
                  <w:tcW w:w="2316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Times New Roman" w:hAnsi="Times New Roman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  <w:t xml:space="preserve">A – Architecture Advisor </w:t>
                  </w:r>
                </w:p>
              </w:tc>
              <w:tc>
                <w:tcPr>
                  <w:tcW w:w="7387" w:type="dxa"/>
                  <w:gridSpan w:val="2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jc w:val="both"/>
                    <w:rPr>
                      <w:rFonts w:ascii="Times New Roman" w:hAnsi="Times New Roman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  <w:t xml:space="preserve">Accept GitHub URL / text input · Parse manifests (package.json, requirements.txt, Dockerfile, *.tf) · Bedrock stack inference (JSON) · Rules-engine service mapping · SVG diagram generation · Per-service cost estimate via Pricing API · Email delivery via SES · Graceful fallback for empty/private repos </w:t>
                  </w:r>
                </w:p>
              </w:tc>
            </w:tr>
            <w:tr>
              <w:trPr/>
              <w:tc>
                <w:tcPr>
                  <w:tcW w:w="2316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Times New Roman" w:hAnsi="Times New Roman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  <w:t xml:space="preserve">B – Cost Monitoring </w:t>
                  </w:r>
                </w:p>
              </w:tc>
              <w:tc>
                <w:tcPr>
                  <w:tcW w:w="7387" w:type="dxa"/>
                  <w:gridSpan w:val="2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jc w:val="both"/>
                    <w:rPr>
                      <w:rFonts w:ascii="Times New Roman" w:hAnsi="Times New Roman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  <w:t xml:space="preserve">Daily Cost Explorer ingestion · 7-day rolling average per service · Spike flag when spend &gt; avg × threshold (default 2.0×) · Rank spikes by $ impact · Email alerts · 30-day trend chart </w:t>
                  </w:r>
                </w:p>
              </w:tc>
            </w:tr>
            <w:tr>
              <w:trPr/>
              <w:tc>
                <w:tcPr>
                  <w:tcW w:w="2316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Times New Roman" w:hAnsi="Times New Roman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  <w:t xml:space="preserve">C – Resource Optimization </w:t>
                  </w:r>
                </w:p>
              </w:tc>
              <w:tc>
                <w:tcPr>
                  <w:tcW w:w="7387" w:type="dxa"/>
                  <w:gridSpan w:val="2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jc w:val="both"/>
                    <w:rPr>
                      <w:rFonts w:ascii="Times New Roman" w:hAnsi="Times New Roman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  <w:t xml:space="preserve">Daily scan: idle EC2, unattached EBS, unused EIPs, oversized RDS, missing S3 lifecycle, idle ELBs · $ savings estimate per finding · Sort by savings · Dismiss action </w:t>
                  </w:r>
                </w:p>
              </w:tc>
            </w:tr>
            <w:tr>
              <w:trPr/>
              <w:tc>
                <w:tcPr>
                  <w:tcW w:w="2316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jc w:val="center"/>
                    <w:rPr>
                      <w:rFonts w:ascii="Times New Roman" w:hAnsi="Times New Roman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  <w:t xml:space="preserve">D – Security Scanner </w:t>
                  </w:r>
                </w:p>
              </w:tc>
              <w:tc>
                <w:tcPr>
                  <w:tcW w:w="7387" w:type="dxa"/>
                  <w:gridSpan w:val="2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jc w:val="both"/>
                    <w:rPr>
                      <w:rFonts w:ascii="Times New Roman" w:hAnsi="Times New Roman"/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dstrike w:val="false"/>
                      <w:outline w:val="false"/>
                      <w:shadow w:val="false"/>
                      <w:color w:val="auto"/>
                      <w:sz w:val="24"/>
                      <w:szCs w:val="24"/>
                      <w:u w:val="none"/>
                    </w:rPr>
                    <w:t xml:space="preserve">12 CIS-aligned checks (public S3, open SG ports, IAM MFA, root account, wildcard policies, unencrypted RDS/EBS, CloudTrail) · Severity ranking (Critical/High/Medium/Low) · Remediation steps · Diff vs. previous scan </w:t>
                  </w:r>
                </w:p>
              </w:tc>
            </w:tr>
          </w:tbl>
          <w:p>
            <w:pPr>
              <w:pStyle w:val="Heading1"/>
              <w:widowControl w:val="false"/>
              <w:suppressAutoHyphens w:val="true"/>
              <w:spacing w:before="0" w:after="0"/>
              <w:ind w:start="0"/>
              <w:jc w:val="start"/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 w:color="000000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 w:color="000000"/>
              </w:rPr>
            </w:r>
          </w:p>
        </w:tc>
      </w:tr>
    </w:tbl>
    <w:p>
      <w:pPr>
        <w:pStyle w:val="Heading1"/>
        <w:spacing w:before="1" w:after="0"/>
        <w:ind w:start="0"/>
        <w:rPr/>
      </w:pPr>
      <w:r>
        <w:rPr/>
      </w:r>
    </w:p>
    <w:p>
      <w:pPr>
        <w:pStyle w:val="Heading1"/>
        <w:spacing w:before="1" w:after="0"/>
        <w:ind w:start="0"/>
        <w:rPr>
          <w:u w:val="none"/>
        </w:rPr>
      </w:pPr>
      <w:r>
        <w:rPr>
          <w:u w:val="none"/>
        </w:rPr>
        <w:t xml:space="preserve">Plans for next week: Date: </w:t>
      </w:r>
      <w:r>
        <w:rPr>
          <w:u w:val="single"/>
        </w:rPr>
        <w:t>20-07-2026</w:t>
      </w:r>
      <w:r>
        <w:rPr>
          <w:u w:val="none"/>
        </w:rPr>
        <w:t xml:space="preserve"> to </w:t>
      </w:r>
      <w:r>
        <w:rPr>
          <w:u w:val="single"/>
        </w:rPr>
        <w:t>26-07-2026</w:t>
      </w:r>
    </w:p>
    <w:p>
      <w:pPr>
        <w:pStyle w:val="Heading1"/>
        <w:spacing w:before="1" w:after="0"/>
        <w:ind w:start="0"/>
        <w:rPr/>
      </w:pPr>
      <w:r>
        <w:rPr/>
      </w:r>
    </w:p>
    <w:tbl>
      <w:tblPr>
        <w:tblStyle w:val="TableGrid"/>
        <w:tblW w:w="9410" w:type="dxa"/>
        <w:jc w:val="start"/>
        <w:tblInd w:w="22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410"/>
      </w:tblGrid>
      <w:tr>
        <w:trPr/>
        <w:tc>
          <w:tcPr>
            <w:tcW w:w="9410" w:type="dxa"/>
            <w:tcBorders/>
          </w:tcPr>
          <w:p>
            <w:pPr>
              <w:pStyle w:val="Heading1"/>
              <w:widowControl w:val="false"/>
              <w:suppressAutoHyphens w:val="true"/>
              <w:spacing w:before="1" w:after="0"/>
              <w:ind w:start="0"/>
              <w:jc w:val="start"/>
              <w:rPr>
                <w:b w:val="false"/>
                <w:bCs w:val="false"/>
                <w:i w:val="false"/>
                <w:iCs w:val="false"/>
                <w:u w:val="none" w:color="000000"/>
              </w:rPr>
            </w:pPr>
            <w:r>
              <w:rPr>
                <w:b w:val="false"/>
                <w:bCs w:val="false"/>
                <w:i w:val="false"/>
                <w:iCs w:val="false"/>
                <w:u w:val="none" w:color="000000"/>
              </w:rPr>
            </w:r>
          </w:p>
          <w:p>
            <w:pPr>
              <w:pStyle w:val="BodyText"/>
              <w:widowControl w:val="false"/>
              <w:suppressAutoHyphens w:val="true"/>
              <w:spacing w:before="1" w:after="0"/>
              <w:ind w:start="0"/>
              <w:jc w:val="start"/>
              <w:rPr>
                <w:b w:val="false"/>
                <w:bCs w:val="false"/>
                <w:i w:val="false"/>
                <w:iCs w:val="false"/>
                <w:sz w:val="28"/>
                <w:szCs w:val="28"/>
                <w:u w:val="none" w:color="000000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u w:val="none" w:color="000000"/>
              </w:rPr>
              <w:t>Prepare the detailed Software Requirements Specification (SRS).</w:t>
            </w:r>
          </w:p>
          <w:p>
            <w:pPr>
              <w:pStyle w:val="BodyText"/>
              <w:widowControl w:val="false"/>
              <w:suppressAutoHyphens w:val="true"/>
              <w:spacing w:before="1" w:after="0"/>
              <w:ind w:start="0"/>
              <w:jc w:val="start"/>
              <w:rPr>
                <w:b w:val="false"/>
                <w:bCs w:val="false"/>
                <w:i w:val="false"/>
                <w:iCs w:val="false"/>
                <w:sz w:val="28"/>
                <w:szCs w:val="28"/>
                <w:u w:val="none" w:color="000000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u w:val="none" w:color="000000"/>
              </w:rPr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 w:leader="none"/>
              </w:tabs>
              <w:suppressAutoHyphens w:val="true"/>
              <w:spacing w:before="1" w:after="0"/>
              <w:ind w:hanging="283" w:start="720"/>
              <w:rPr>
                <w:b w:val="false"/>
                <w:bCs w:val="false"/>
                <w:i w:val="false"/>
                <w:iCs w:val="false"/>
                <w:sz w:val="28"/>
                <w:szCs w:val="28"/>
                <w:u w:val="none" w:color="000000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u w:val="none" w:color="000000"/>
              </w:rPr>
              <w:t xml:space="preserve">Conduct feasibility study (technical, operational, economic). 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 w:leader="none"/>
              </w:tabs>
              <w:suppressAutoHyphens w:val="true"/>
              <w:spacing w:before="1" w:after="0"/>
              <w:ind w:hanging="283" w:start="720"/>
              <w:rPr>
                <w:b w:val="false"/>
                <w:bCs w:val="false"/>
                <w:i w:val="false"/>
                <w:iCs w:val="false"/>
                <w:sz w:val="28"/>
                <w:szCs w:val="28"/>
                <w:u w:val="none" w:color="000000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u w:val="none" w:color="000000"/>
              </w:rPr>
              <w:t xml:space="preserve">Draft use case diagrams and Data Flow Diagrams (DFDs) for the four modules. 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 w:leader="none"/>
              </w:tabs>
              <w:suppressAutoHyphens w:val="true"/>
              <w:spacing w:before="1" w:after="0"/>
              <w:ind w:hanging="283" w:start="720"/>
              <w:rPr>
                <w:b w:val="false"/>
                <w:bCs w:val="false"/>
                <w:i w:val="false"/>
                <w:iCs w:val="false"/>
                <w:sz w:val="28"/>
                <w:szCs w:val="28"/>
                <w:u w:val="none" w:color="000000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  <w:u w:val="none" w:color="000000"/>
              </w:rPr>
              <w:t xml:space="preserve">Outline the initial system architecture. </w:t>
            </w:r>
          </w:p>
          <w:p>
            <w:pPr>
              <w:pStyle w:val="Heading1"/>
              <w:widowControl w:val="false"/>
              <w:suppressAutoHyphens w:val="true"/>
              <w:spacing w:before="1" w:after="0"/>
              <w:ind w:start="0"/>
              <w:jc w:val="start"/>
              <w:rPr>
                <w:u w:val="none" w:color="000000"/>
              </w:rPr>
            </w:pPr>
            <w:r>
              <w:rPr>
                <w:u w:val="none" w:color="000000"/>
              </w:rPr>
            </w:r>
          </w:p>
        </w:tc>
      </w:tr>
    </w:tbl>
    <w:p>
      <w:pPr>
        <w:pStyle w:val="Heading1"/>
        <w:spacing w:before="281" w:after="0"/>
        <w:rPr>
          <w:u w:val="none"/>
        </w:rPr>
      </w:pPr>
      <w:r>
        <w:rPr>
          <w:u w:val="thick"/>
        </w:rPr>
        <w:t>References:</w:t>
      </w:r>
    </w:p>
    <w:p>
      <w:pPr>
        <w:pStyle w:val="Normal"/>
        <w:spacing w:before="1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before="1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numPr>
          <w:ilvl w:val="0"/>
          <w:numId w:val="8"/>
        </w:numPr>
        <w:spacing w:before="1" w:after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AWS Well-Architected Framework — Reliability &amp; Cost Optimization Pillars, AWS Whitepapers. </w:t>
      </w:r>
    </w:p>
    <w:p>
      <w:pPr>
        <w:pStyle w:val="Normal"/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Anthropic — Claude Model Family Prompt Engineering Guide for Structured JSON Output. 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spacing w:before="11" w:after="0"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720"/>
          <w:tab w:val="left" w:pos="4756" w:leader="none"/>
        </w:tabs>
        <w:spacing w:before="89" w:after="0"/>
        <w:ind w:start="220"/>
        <w:rPr>
          <w:b/>
          <w:sz w:val="17"/>
        </w:rPr>
      </w:pPr>
      <w:r>
        <w:rPr>
          <w:b/>
          <w:sz w:val="28"/>
        </w:rPr>
        <w:t>Signature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Student</w:t>
        <w:tab/>
        <w:tab/>
        <w:t xml:space="preserve"> </w:t>
        <w:tab/>
      </w:r>
      <w:r>
        <w:rPr>
          <w:b/>
          <w:sz w:val="28"/>
        </w:rPr>
        <w:t>Signature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Mentor</w:t>
      </w:r>
    </w:p>
    <w:sectPr>
      <w:type w:val="nextPage"/>
      <w:pgSz w:w="12240" w:h="15840"/>
      <w:pgMar w:left="1580" w:right="1020" w:gutter="0" w:header="0" w:top="150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220"/>
      <w:outlineLvl w:val="0"/>
    </w:pPr>
    <w:rPr>
      <w:b/>
      <w:bCs/>
      <w:sz w:val="32"/>
      <w:szCs w:val="32"/>
      <w:u w:val="single" w:color="000000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i/>
      <w:iCs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pPr>
      <w:spacing w:before="85" w:after="0"/>
      <w:ind w:start="278" w:end="29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hanging="361" w:start="940"/>
    </w:pPr>
    <w:rPr>
      <w:u w:val="single" w:color="000000"/>
    </w:rPr>
  </w:style>
  <w:style w:type="paragraph" w:styleId="TableParagraph" w:customStyle="1">
    <w:name w:val="Table Paragraph"/>
    <w:basedOn w:val="Normal"/>
    <w:uiPriority w:val="1"/>
    <w:qFormat/>
    <w:pPr>
      <w:spacing w:lineRule="exact" w:line="300"/>
      <w:ind w:start="11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c2f2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LibreOffice/26.2.5.2$Windows_X86_64 LibreOffice_project/cd7284b4cbbfeb507e630c1aac019f4157393acb</Application>
  <AppVersion>15.0000</AppVersion>
  <Pages>2</Pages>
  <Words>376</Words>
  <Characters>2258</Characters>
  <CharactersWithSpaces>2642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2026-07-09T07:30:00Z</dcterms:created>
  <dc:creator>pc1</dc:creator>
  <dc:description/>
  <dc:language>en-IN</dc:language>
  <cp:lastModifiedBy/>
  <dcterms:modified xsi:type="dcterms:W3CDTF">2026-08-13T09:07:48Z</dcterms:modified>
  <cp:revision>5</cp:revision>
  <dc:subject/>
  <dc:title>Amit Ganatra (ME-05)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2022-07-19T00:00:00Z</vt:filetime>
  </property>
</Properties>
</file>