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Baseline11 Auto Correlation Tester Guide</w:t>
      </w:r>
    </w:p>
    <w:p>
      <w:pPr>
        <w:spacing w:after="440"/>
      </w:pPr>
      <w:r>
        <w:rPr>
          <w:color w:val="555555"/>
          <w:sz w:val="30"/>
        </w:rPr>
        <w:t>From Postman collection execution to a validated JMeter 5.6.3 test plan</w:t>
      </w:r>
    </w:p>
    <w:p>
      <w:pPr>
        <w:spacing w:after="280"/>
      </w:pPr>
      <w:r>
        <w:rPr>
          <w:b/>
        </w:rPr>
        <w:t xml:space="preserve">Purpose. </w:t>
      </w:r>
      <w:r>
        <w:t>This guide explains how a tester uses Baseline11 Auto Correlate to run a working Postman collection twice, confirm dynamic producer and consumer relationships, generate a correlated JMX, and validate it with Apache JMeter. Baseline11 can run the collection itself in isolated Newman containers (recommended), or accept two Newman JSON reports the tester already captured (advanced).</w:t>
      </w:r>
    </w:p>
    <w:p>
      <w:pPr>
        <w:spacing w:after="360"/>
      </w:pPr>
      <w:r>
        <w:rPr>
          <w:b/>
        </w:rPr>
        <w:t xml:space="preserve">Expected outcome. </w:t>
      </w:r>
      <w:r>
        <w:t>The tester receives a structurally valid JMX in which dynamic response values are extracted and reused automatically, while credentials remain external JMeter properties unless the tester explicitly chooses to embed them.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1944"/>
            <w:shd w:fill="17365D"/>
            <w:vAlign w:val="center"/>
            <w:tcMar>
              <w:top w:w="110" w:type="dxa"/>
              <w:start w:w="120" w:type="dxa"/>
              <w:bottom w:w="110" w:type="dxa"/>
              <w:end w:w="120" w:type="dxa"/>
            </w:tcMar>
          </w:tcPr>
          <w:p>
            <w:pPr>
              <w:jc w:val="center"/>
            </w:pPr>
            <w:r>
              <w:rPr>
                <w:b/>
                <w:color w:val="FFFFFF"/>
                <w:sz w:val="18"/>
              </w:rPr>
              <w:t>Document</w:t>
            </w:r>
          </w:p>
        </w:tc>
        <w:tc>
          <w:tcPr>
            <w:tcW w:type="dxa" w:w="3528"/>
            <w:shd w:fill="17365D"/>
            <w:vAlign w:val="center"/>
            <w:tcMar>
              <w:top w:w="110" w:type="dxa"/>
              <w:start w:w="120" w:type="dxa"/>
              <w:bottom w:w="110" w:type="dxa"/>
              <w:end w:w="120" w:type="dxa"/>
            </w:tcMar>
          </w:tcPr>
          <w:p>
            <w:pPr>
              <w:jc w:val="center"/>
            </w:pPr>
            <w:r>
              <w:rPr>
                <w:b/>
                <w:color w:val="FFFFFF"/>
                <w:sz w:val="18"/>
              </w:rPr>
              <w:t>Audience</w:t>
            </w:r>
          </w:p>
        </w:tc>
        <w:tc>
          <w:tcPr>
            <w:tcW w:type="dxa" w:w="1080"/>
            <w:shd w:fill="17365D"/>
            <w:vAlign w:val="center"/>
            <w:tcMar>
              <w:top w:w="110" w:type="dxa"/>
              <w:start w:w="120" w:type="dxa"/>
              <w:bottom w:w="110" w:type="dxa"/>
              <w:end w:w="120" w:type="dxa"/>
            </w:tcMar>
          </w:tcPr>
          <w:p>
            <w:pPr>
              <w:jc w:val="center"/>
            </w:pPr>
            <w:r>
              <w:rPr>
                <w:b/>
                <w:color w:val="FFFFFF"/>
                <w:sz w:val="18"/>
              </w:rPr>
              <w:t>Version</w:t>
            </w:r>
          </w:p>
        </w:tc>
        <w:tc>
          <w:tcPr>
            <w:tcW w:type="dxa" w:w="2232"/>
            <w:shd w:fill="17365D"/>
            <w:vAlign w:val="center"/>
            <w:tcMar>
              <w:top w:w="110" w:type="dxa"/>
              <w:start w:w="120" w:type="dxa"/>
              <w:bottom w:w="110" w:type="dxa"/>
              <w:end w:w="120" w:type="dxa"/>
            </w:tcMar>
          </w:tcPr>
          <w:p>
            <w:pPr>
              <w:jc w:val="center"/>
            </w:pPr>
            <w:r>
              <w:rPr>
                <w:b/>
                <w:color w:val="FFFFFF"/>
                <w:sz w:val="18"/>
              </w:rPr>
              <w:t>Date</w:t>
            </w:r>
          </w:p>
        </w:tc>
      </w:tr>
      <w:tr>
        <w:tc>
          <w:tcPr>
            <w:tcW w:type="dxa" w:w="1944"/>
            <w:vAlign w:val="center"/>
            <w:tcMar>
              <w:top w:w="110" w:type="dxa"/>
              <w:start w:w="120" w:type="dxa"/>
              <w:bottom w:w="110" w:type="dxa"/>
              <w:end w:w="120" w:type="dxa"/>
            </w:tcMar>
          </w:tcPr>
          <w:p>
            <w:pPr>
              <w:spacing w:after="0"/>
            </w:pPr>
            <w:r>
              <w:rPr>
                <w:sz w:val="18"/>
              </w:rPr>
              <w:t>Operating guide</w:t>
            </w:r>
          </w:p>
        </w:tc>
        <w:tc>
          <w:tcPr>
            <w:tcW w:type="dxa" w:w="3528"/>
            <w:vAlign w:val="center"/>
            <w:tcMar>
              <w:top w:w="110" w:type="dxa"/>
              <w:start w:w="120" w:type="dxa"/>
              <w:bottom w:w="110" w:type="dxa"/>
              <w:end w:w="120" w:type="dxa"/>
            </w:tcMar>
          </w:tcPr>
          <w:p>
            <w:pPr>
              <w:spacing w:after="0"/>
            </w:pPr>
            <w:r>
              <w:rPr>
                <w:sz w:val="18"/>
              </w:rPr>
              <w:t>API, QA and performance testers</w:t>
            </w:r>
          </w:p>
        </w:tc>
        <w:tc>
          <w:tcPr>
            <w:tcW w:type="dxa" w:w="1080"/>
            <w:vAlign w:val="center"/>
            <w:tcMar>
              <w:top w:w="110" w:type="dxa"/>
              <w:start w:w="120" w:type="dxa"/>
              <w:bottom w:w="110" w:type="dxa"/>
              <w:end w:w="120" w:type="dxa"/>
            </w:tcMar>
          </w:tcPr>
          <w:p>
            <w:pPr>
              <w:spacing w:after="0"/>
            </w:pPr>
            <w:r>
              <w:rPr>
                <w:sz w:val="18"/>
              </w:rPr>
              <w:t>2.0</w:t>
            </w:r>
          </w:p>
        </w:tc>
        <w:tc>
          <w:tcPr>
            <w:tcW w:type="dxa" w:w="2232"/>
            <w:vAlign w:val="center"/>
            <w:tcMar>
              <w:top w:w="110" w:type="dxa"/>
              <w:start w:w="120" w:type="dxa"/>
              <w:bottom w:w="110" w:type="dxa"/>
              <w:end w:w="120" w:type="dxa"/>
            </w:tcMar>
          </w:tcPr>
          <w:p>
            <w:pPr>
              <w:spacing w:after="0"/>
            </w:pPr>
            <w:r>
              <w:rPr>
                <w:sz w:val="18"/>
              </w:rPr>
              <w:t>25 September 2026</w:t>
            </w:r>
          </w:p>
        </w:tc>
      </w:tr>
    </w:tbl>
    <w:p>
      <w:pPr>
        <w:spacing w:after="0"/>
      </w:pPr>
    </w:p>
    <w:p>
      <w:pPr>
        <w:pStyle w:val="Heading2"/>
      </w:pPr>
      <w:r>
        <w:t>What the tester needs</w:t>
      </w:r>
    </w:p>
    <w:p>
      <w:pPr>
        <w:pStyle w:val="ListBullet"/>
        <w:spacing w:after="40"/>
      </w:pPr>
      <w:r>
        <w:t>A Postman collection that already executes successfully against public HTTPS endpoints.</w:t>
      </w:r>
    </w:p>
    <w:p>
      <w:pPr>
        <w:pStyle w:val="ListBullet"/>
        <w:spacing w:after="40"/>
      </w:pPr>
      <w:r>
        <w:t>A Postman environment or another safe source for host and credential values.</w:t>
      </w:r>
    </w:p>
    <w:p>
      <w:pPr>
        <w:pStyle w:val="ListBullet"/>
        <w:spacing w:after="40"/>
      </w:pPr>
      <w:r>
        <w:t>Access to the Baseline11 Auto Correlate web application and Apache JMeter 5.6.3.</w:t>
      </w:r>
    </w:p>
    <w:p>
      <w:pPr>
        <w:pStyle w:val="ListBullet"/>
        <w:spacing w:after="40"/>
      </w:pPr>
      <w:r>
        <w:t>Advanced mode only: Newman and two successful Newman JSON reports from the same collection and request order.</w:t>
      </w:r>
    </w:p>
    <w:p>
      <w:pPr>
        <w:pStyle w:val="Heading1"/>
      </w:pPr>
      <w:r>
        <w:t>Quick Start</w:t>
      </w:r>
    </w:p>
    <w:p>
      <w:r>
        <w:t>Use this page when the collection, environment and credentials are already prepared. The detailed procedure begins on the next page.</w:t>
      </w:r>
    </w:p>
    <w:p>
      <w:pPr>
        <w:pStyle w:val="Heading2"/>
      </w:pPr>
      <w:r>
        <w:t>Recommended: let Baseline11 run the collection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792"/>
            <w:shd w:fill="17365D"/>
            <w:vAlign w:val="center"/>
            <w:tcMar>
              <w:top w:w="110" w:type="dxa"/>
              <w:start w:w="120" w:type="dxa"/>
              <w:bottom w:w="110" w:type="dxa"/>
              <w:end w:w="120" w:type="dxa"/>
            </w:tcMar>
          </w:tcPr>
          <w:p>
            <w:pPr>
              <w:jc w:val="center"/>
            </w:pPr>
            <w:r>
              <w:rPr>
                <w:b/>
                <w:color w:val="FFFFFF"/>
                <w:sz w:val="18"/>
              </w:rPr>
              <w:t>Step</w:t>
            </w:r>
          </w:p>
        </w:tc>
        <w:tc>
          <w:tcPr>
            <w:tcW w:type="dxa" w:w="2232"/>
            <w:shd w:fill="17365D"/>
            <w:vAlign w:val="center"/>
            <w:tcMar>
              <w:top w:w="110" w:type="dxa"/>
              <w:start w:w="120" w:type="dxa"/>
              <w:bottom w:w="110" w:type="dxa"/>
              <w:end w:w="120" w:type="dxa"/>
            </w:tcMar>
          </w:tcPr>
          <w:p>
            <w:pPr>
              <w:jc w:val="center"/>
            </w:pPr>
            <w:r>
              <w:rPr>
                <w:b/>
                <w:color w:val="FFFFFF"/>
                <w:sz w:val="18"/>
              </w:rPr>
              <w:t>Action</w:t>
            </w:r>
          </w:p>
        </w:tc>
        <w:tc>
          <w:tcPr>
            <w:tcW w:type="dxa" w:w="5832"/>
            <w:shd w:fill="17365D"/>
            <w:vAlign w:val="center"/>
            <w:tcMar>
              <w:top w:w="110" w:type="dxa"/>
              <w:start w:w="120" w:type="dxa"/>
              <w:bottom w:w="110" w:type="dxa"/>
              <w:end w:w="120" w:type="dxa"/>
            </w:tcMar>
          </w:tcPr>
          <w:p>
            <w:pPr>
              <w:jc w:val="center"/>
            </w:pPr>
            <w:r>
              <w:rPr>
                <w:b/>
                <w:color w:val="FFFFFF"/>
                <w:sz w:val="18"/>
              </w:rPr>
              <w:t>Expected result</w:t>
            </w:r>
          </w:p>
        </w:tc>
      </w:tr>
      <w:tr>
        <w:tc>
          <w:tcPr>
            <w:tcW w:type="dxa" w:w="792"/>
            <w:vAlign w:val="center"/>
            <w:tcMar>
              <w:top w:w="110" w:type="dxa"/>
              <w:start w:w="120" w:type="dxa"/>
              <w:bottom w:w="110" w:type="dxa"/>
              <w:end w:w="120" w:type="dxa"/>
            </w:tcMar>
          </w:tcPr>
          <w:p>
            <w:pPr>
              <w:spacing w:after="0"/>
            </w:pPr>
            <w:r>
              <w:rPr>
                <w:sz w:val="18"/>
              </w:rPr>
              <w:t>1</w:t>
            </w:r>
          </w:p>
        </w:tc>
        <w:tc>
          <w:tcPr>
            <w:tcW w:type="dxa" w:w="2232"/>
            <w:vAlign w:val="center"/>
            <w:tcMar>
              <w:top w:w="110" w:type="dxa"/>
              <w:start w:w="120" w:type="dxa"/>
              <w:bottom w:w="110" w:type="dxa"/>
              <w:end w:w="120" w:type="dxa"/>
            </w:tcMar>
          </w:tcPr>
          <w:p>
            <w:pPr>
              <w:spacing w:after="0"/>
            </w:pPr>
            <w:r>
              <w:rPr>
                <w:sz w:val="18"/>
              </w:rPr>
              <w:t>Choose mode</w:t>
            </w:r>
          </w:p>
        </w:tc>
        <w:tc>
          <w:tcPr>
            <w:tcW w:type="dxa" w:w="5832"/>
            <w:vAlign w:val="center"/>
            <w:tcMar>
              <w:top w:w="110" w:type="dxa"/>
              <w:start w:w="120" w:type="dxa"/>
              <w:bottom w:w="110" w:type="dxa"/>
              <w:end w:w="120" w:type="dxa"/>
            </w:tcMar>
          </w:tcPr>
          <w:p>
            <w:pPr>
              <w:spacing w:after="0"/>
            </w:pPr>
            <w:r>
              <w:rPr>
                <w:sz w:val="18"/>
              </w:rPr>
              <w:t>Select Run a Postman collection.</w:t>
            </w:r>
          </w:p>
        </w:tc>
      </w:tr>
      <w:tr>
        <w:tc>
          <w:tcPr>
            <w:tcW w:type="dxa" w:w="792"/>
            <w:vAlign w:val="center"/>
            <w:tcMar>
              <w:top w:w="110" w:type="dxa"/>
              <w:start w:w="120" w:type="dxa"/>
              <w:bottom w:w="110" w:type="dxa"/>
              <w:end w:w="120" w:type="dxa"/>
            </w:tcMar>
            <w:shd w:fill="F7F9FB"/>
          </w:tcPr>
          <w:p>
            <w:pPr>
              <w:spacing w:after="0"/>
            </w:pPr>
            <w:r>
              <w:rPr>
                <w:sz w:val="18"/>
              </w:rPr>
              <w:t>2</w:t>
            </w:r>
          </w:p>
        </w:tc>
        <w:tc>
          <w:tcPr>
            <w:tcW w:type="dxa" w:w="2232"/>
            <w:vAlign w:val="center"/>
            <w:tcMar>
              <w:top w:w="110" w:type="dxa"/>
              <w:start w:w="120" w:type="dxa"/>
              <w:bottom w:w="110" w:type="dxa"/>
              <w:end w:w="120" w:type="dxa"/>
            </w:tcMar>
            <w:shd w:fill="F7F9FB"/>
          </w:tcPr>
          <w:p>
            <w:pPr>
              <w:spacing w:after="0"/>
            </w:pPr>
            <w:r>
              <w:rPr>
                <w:sz w:val="18"/>
              </w:rPr>
              <w:t>Upload files</w:t>
            </w:r>
          </w:p>
        </w:tc>
        <w:tc>
          <w:tcPr>
            <w:tcW w:type="dxa" w:w="5832"/>
            <w:vAlign w:val="center"/>
            <w:tcMar>
              <w:top w:w="110" w:type="dxa"/>
              <w:start w:w="120" w:type="dxa"/>
              <w:bottom w:w="110" w:type="dxa"/>
              <w:end w:w="120" w:type="dxa"/>
            </w:tcMar>
            <w:shd w:fill="F7F9FB"/>
          </w:tcPr>
          <w:p>
            <w:pPr>
              <w:spacing w:after="0"/>
            </w:pPr>
            <w:r>
              <w:rPr>
                <w:sz w:val="18"/>
              </w:rPr>
              <w:t>Add the collection and, optionally, its environment, then click Inspect collection. Nothing is sent to any API yet.</w:t>
            </w:r>
          </w:p>
        </w:tc>
      </w:tr>
      <w:tr>
        <w:tc>
          <w:tcPr>
            <w:tcW w:type="dxa" w:w="792"/>
            <w:vAlign w:val="center"/>
            <w:tcMar>
              <w:top w:w="110" w:type="dxa"/>
              <w:start w:w="120" w:type="dxa"/>
              <w:bottom w:w="110" w:type="dxa"/>
              <w:end w:w="120" w:type="dxa"/>
            </w:tcMar>
          </w:tcPr>
          <w:p>
            <w:pPr>
              <w:spacing w:after="0"/>
            </w:pPr>
            <w:r>
              <w:rPr>
                <w:sz w:val="18"/>
              </w:rPr>
              <w:t>3</w:t>
            </w:r>
          </w:p>
        </w:tc>
        <w:tc>
          <w:tcPr>
            <w:tcW w:type="dxa" w:w="2232"/>
            <w:vAlign w:val="center"/>
            <w:tcMar>
              <w:top w:w="110" w:type="dxa"/>
              <w:start w:w="120" w:type="dxa"/>
              <w:bottom w:w="110" w:type="dxa"/>
              <w:end w:w="120" w:type="dxa"/>
            </w:tcMar>
          </w:tcPr>
          <w:p>
            <w:pPr>
              <w:spacing w:after="0"/>
            </w:pPr>
            <w:r>
              <w:rPr>
                <w:sz w:val="18"/>
              </w:rPr>
              <w:t>Supply variables</w:t>
            </w:r>
          </w:p>
        </w:tc>
        <w:tc>
          <w:tcPr>
            <w:tcW w:type="dxa" w:w="5832"/>
            <w:vAlign w:val="center"/>
            <w:tcMar>
              <w:top w:w="110" w:type="dxa"/>
              <w:start w:w="120" w:type="dxa"/>
              <w:bottom w:w="110" w:type="dxa"/>
              <w:end w:w="120" w:type="dxa"/>
            </w:tcMar>
          </w:tcPr>
          <w:p>
            <w:pPr>
              <w:spacing w:after="0"/>
            </w:pPr>
            <w:r>
              <w:rPr>
                <w:sz w:val="18"/>
              </w:rPr>
              <w:t>Enter any values the collection needs that are not in the environment. Secrets stay hidden.</w:t>
            </w:r>
          </w:p>
        </w:tc>
      </w:tr>
      <w:tr>
        <w:tc>
          <w:tcPr>
            <w:tcW w:type="dxa" w:w="792"/>
            <w:vAlign w:val="center"/>
            <w:tcMar>
              <w:top w:w="110" w:type="dxa"/>
              <w:start w:w="120" w:type="dxa"/>
              <w:bottom w:w="110" w:type="dxa"/>
              <w:end w:w="120" w:type="dxa"/>
            </w:tcMar>
            <w:shd w:fill="F7F9FB"/>
          </w:tcPr>
          <w:p>
            <w:pPr>
              <w:spacing w:after="0"/>
            </w:pPr>
            <w:r>
              <w:rPr>
                <w:sz w:val="18"/>
              </w:rPr>
              <w:t>4</w:t>
            </w:r>
          </w:p>
        </w:tc>
        <w:tc>
          <w:tcPr>
            <w:tcW w:type="dxa" w:w="2232"/>
            <w:vAlign w:val="center"/>
            <w:tcMar>
              <w:top w:w="110" w:type="dxa"/>
              <w:start w:w="120" w:type="dxa"/>
              <w:bottom w:w="110" w:type="dxa"/>
              <w:end w:w="120" w:type="dxa"/>
            </w:tcMar>
            <w:shd w:fill="F7F9FB"/>
          </w:tcPr>
          <w:p>
            <w:pPr>
              <w:spacing w:after="0"/>
            </w:pPr>
            <w:r>
              <w:rPr>
                <w:sz w:val="18"/>
              </w:rPr>
              <w:t>Review scope</w:t>
            </w:r>
          </w:p>
        </w:tc>
        <w:tc>
          <w:tcPr>
            <w:tcW w:type="dxa" w:w="5832"/>
            <w:vAlign w:val="center"/>
            <w:tcMar>
              <w:top w:w="110" w:type="dxa"/>
              <w:start w:w="120" w:type="dxa"/>
              <w:bottom w:w="110" w:type="dxa"/>
              <w:end w:w="120" w:type="dxa"/>
            </w:tcMar>
            <w:shd w:fill="F7F9FB"/>
          </w:tcPr>
          <w:p>
            <w:pPr>
              <w:spacing w:after="0"/>
            </w:pPr>
            <w:r>
              <w:rPr>
                <w:sz w:val="18"/>
              </w:rPr>
              <w:t>Pick the whole collection or one folder, check the target domains, then click Run collection twice.</w:t>
            </w:r>
          </w:p>
        </w:tc>
      </w:tr>
      <w:tr>
        <w:tc>
          <w:tcPr>
            <w:tcW w:type="dxa" w:w="792"/>
            <w:vAlign w:val="center"/>
            <w:tcMar>
              <w:top w:w="110" w:type="dxa"/>
              <w:start w:w="120" w:type="dxa"/>
              <w:bottom w:w="110" w:type="dxa"/>
              <w:end w:w="120" w:type="dxa"/>
            </w:tcMar>
          </w:tcPr>
          <w:p>
            <w:pPr>
              <w:spacing w:after="0"/>
            </w:pPr>
            <w:r>
              <w:rPr>
                <w:sz w:val="18"/>
              </w:rPr>
              <w:t>5</w:t>
            </w:r>
          </w:p>
        </w:tc>
        <w:tc>
          <w:tcPr>
            <w:tcW w:type="dxa" w:w="2232"/>
            <w:vAlign w:val="center"/>
            <w:tcMar>
              <w:top w:w="110" w:type="dxa"/>
              <w:start w:w="120" w:type="dxa"/>
              <w:bottom w:w="110" w:type="dxa"/>
              <w:end w:w="120" w:type="dxa"/>
            </w:tcMar>
          </w:tcPr>
          <w:p>
            <w:pPr>
              <w:spacing w:after="0"/>
            </w:pPr>
            <w:r>
              <w:rPr>
                <w:sz w:val="18"/>
              </w:rPr>
              <w:t>Wait</w:t>
            </w:r>
          </w:p>
        </w:tc>
        <w:tc>
          <w:tcPr>
            <w:tcW w:type="dxa" w:w="5832"/>
            <w:vAlign w:val="center"/>
            <w:tcMar>
              <w:top w:w="110" w:type="dxa"/>
              <w:start w:w="120" w:type="dxa"/>
              <w:bottom w:w="110" w:type="dxa"/>
              <w:end w:w="120" w:type="dxa"/>
            </w:tcMar>
          </w:tcPr>
          <w:p>
            <w:pPr>
              <w:spacing w:after="0"/>
            </w:pPr>
            <w:r>
              <w:rPr>
                <w:sz w:val="18"/>
              </w:rPr>
              <w:t>Baseline11 runs the collection twice in isolated Newman containers and opens the analysis.</w:t>
            </w:r>
          </w:p>
        </w:tc>
      </w:tr>
      <w:tr>
        <w:tc>
          <w:tcPr>
            <w:tcW w:type="dxa" w:w="792"/>
            <w:vAlign w:val="center"/>
            <w:tcMar>
              <w:top w:w="110" w:type="dxa"/>
              <w:start w:w="120" w:type="dxa"/>
              <w:bottom w:w="110" w:type="dxa"/>
              <w:end w:w="120" w:type="dxa"/>
            </w:tcMar>
            <w:shd w:fill="F7F9FB"/>
          </w:tcPr>
          <w:p>
            <w:pPr>
              <w:spacing w:after="0"/>
            </w:pPr>
            <w:r>
              <w:rPr>
                <w:sz w:val="18"/>
              </w:rPr>
              <w:t>6</w:t>
            </w:r>
          </w:p>
        </w:tc>
        <w:tc>
          <w:tcPr>
            <w:tcW w:type="dxa" w:w="2232"/>
            <w:vAlign w:val="center"/>
            <w:tcMar>
              <w:top w:w="110" w:type="dxa"/>
              <w:start w:w="120" w:type="dxa"/>
              <w:bottom w:w="110" w:type="dxa"/>
              <w:end w:w="120" w:type="dxa"/>
            </w:tcMar>
            <w:shd w:fill="F7F9FB"/>
          </w:tcPr>
          <w:p>
            <w:pPr>
              <w:spacing w:after="0"/>
            </w:pPr>
            <w:r>
              <w:rPr>
                <w:sz w:val="18"/>
              </w:rPr>
              <w:t>Correlate</w:t>
            </w:r>
          </w:p>
        </w:tc>
        <w:tc>
          <w:tcPr>
            <w:tcW w:type="dxa" w:w="5832"/>
            <w:vAlign w:val="center"/>
            <w:tcMar>
              <w:top w:w="110" w:type="dxa"/>
              <w:start w:w="120" w:type="dxa"/>
              <w:bottom w:w="110" w:type="dxa"/>
              <w:end w:w="120" w:type="dxa"/>
            </w:tcMar>
            <w:shd w:fill="F7F9FB"/>
          </w:tcPr>
          <w:p>
            <w:pPr>
              <w:spacing w:after="0"/>
            </w:pPr>
            <w:r>
              <w:rPr>
                <w:sz w:val="18"/>
              </w:rPr>
              <w:t>Check Run Health, then click Auto correlate all reused values once.</w:t>
            </w:r>
          </w:p>
        </w:tc>
      </w:tr>
      <w:tr>
        <w:tc>
          <w:tcPr>
            <w:tcW w:type="dxa" w:w="792"/>
            <w:vAlign w:val="center"/>
            <w:tcMar>
              <w:top w:w="110" w:type="dxa"/>
              <w:start w:w="120" w:type="dxa"/>
              <w:bottom w:w="110" w:type="dxa"/>
              <w:end w:w="120" w:type="dxa"/>
            </w:tcMar>
          </w:tcPr>
          <w:p>
            <w:pPr>
              <w:spacing w:after="0"/>
            </w:pPr>
            <w:r>
              <w:rPr>
                <w:sz w:val="18"/>
              </w:rPr>
              <w:t>7</w:t>
            </w:r>
          </w:p>
        </w:tc>
        <w:tc>
          <w:tcPr>
            <w:tcW w:type="dxa" w:w="2232"/>
            <w:vAlign w:val="center"/>
            <w:tcMar>
              <w:top w:w="110" w:type="dxa"/>
              <w:start w:w="120" w:type="dxa"/>
              <w:bottom w:w="110" w:type="dxa"/>
              <w:end w:w="120" w:type="dxa"/>
            </w:tcMar>
          </w:tcPr>
          <w:p>
            <w:pPr>
              <w:spacing w:after="0"/>
            </w:pPr>
            <w:r>
              <w:rPr>
                <w:sz w:val="18"/>
              </w:rPr>
              <w:t>Generate</w:t>
            </w:r>
          </w:p>
        </w:tc>
        <w:tc>
          <w:tcPr>
            <w:tcW w:type="dxa" w:w="5832"/>
            <w:vAlign w:val="center"/>
            <w:tcMar>
              <w:top w:w="110" w:type="dxa"/>
              <w:start w:w="120" w:type="dxa"/>
              <w:bottom w:w="110" w:type="dxa"/>
              <w:end w:w="120" w:type="dxa"/>
            </w:tcMar>
          </w:tcPr>
          <w:p>
            <w:pPr>
              <w:spacing w:after="0"/>
            </w:pPr>
            <w:r>
              <w:rPr>
                <w:sz w:val="18"/>
              </w:rPr>
              <w:t>Preview, generate and download the JMX and manifest.</w:t>
            </w:r>
          </w:p>
        </w:tc>
      </w:tr>
      <w:tr>
        <w:tc>
          <w:tcPr>
            <w:tcW w:type="dxa" w:w="792"/>
            <w:vAlign w:val="center"/>
            <w:tcMar>
              <w:top w:w="110" w:type="dxa"/>
              <w:start w:w="120" w:type="dxa"/>
              <w:bottom w:w="110" w:type="dxa"/>
              <w:end w:w="120" w:type="dxa"/>
            </w:tcMar>
            <w:shd w:fill="F7F9FB"/>
          </w:tcPr>
          <w:p>
            <w:pPr>
              <w:spacing w:after="0"/>
            </w:pPr>
            <w:r>
              <w:rPr>
                <w:sz w:val="18"/>
              </w:rPr>
              <w:t>8</w:t>
            </w:r>
          </w:p>
        </w:tc>
        <w:tc>
          <w:tcPr>
            <w:tcW w:type="dxa" w:w="2232"/>
            <w:vAlign w:val="center"/>
            <w:tcMar>
              <w:top w:w="110" w:type="dxa"/>
              <w:start w:w="120" w:type="dxa"/>
              <w:bottom w:w="110" w:type="dxa"/>
              <w:end w:w="120" w:type="dxa"/>
            </w:tcMar>
            <w:shd w:fill="F7F9FB"/>
          </w:tcPr>
          <w:p>
            <w:pPr>
              <w:spacing w:after="0"/>
            </w:pPr>
            <w:r>
              <w:rPr>
                <w:sz w:val="18"/>
              </w:rPr>
              <w:t>Validate</w:t>
            </w:r>
          </w:p>
        </w:tc>
        <w:tc>
          <w:tcPr>
            <w:tcW w:type="dxa" w:w="5832"/>
            <w:vAlign w:val="center"/>
            <w:tcMar>
              <w:top w:w="110" w:type="dxa"/>
              <w:start w:w="120" w:type="dxa"/>
              <w:bottom w:w="110" w:type="dxa"/>
              <w:end w:w="120" w:type="dxa"/>
            </w:tcMar>
            <w:shd w:fill="F7F9FB"/>
          </w:tcPr>
          <w:p>
            <w:pPr>
              <w:spacing w:after="0"/>
            </w:pPr>
            <w:r>
              <w:rPr>
                <w:sz w:val="18"/>
              </w:rPr>
              <w:t>Supply runtime secrets and execute the plan with JMeter 5.6.3.</w:t>
            </w:r>
          </w:p>
        </w:tc>
      </w:tr>
    </w:tbl>
    <w:p>
      <w:pPr>
        <w:spacing w:after="0"/>
      </w:pPr>
    </w:p>
    <w:p>
      <w:pPr>
        <w:pStyle w:val="Heading2"/>
      </w:pPr>
      <w:r>
        <w:t>Advanced: upload two Newman reports</w:t>
      </w:r>
    </w:p>
    <w:p>
      <w:r>
        <w:t>Use this mode when the collection must run from a network Baseline11 cannot reach, such as a private test environment. Run Newman twice yourself (section 3), choose Upload existing Newman reports, upload baseline.json first and comparison.json second, then continue from step 6 above.</w:t>
      </w:r>
    </w:p>
    <w:p>
      <w:pPr>
        <w:pStyle w:val="Heading2"/>
      </w:pPr>
      <w:r>
        <w:t>The Core Concept</w:t>
      </w:r>
    </w:p>
    <w:p>
      <w:r>
        <w:t>Newman does not convert a Postman collection into JSON. Newman executes the collection and records the resolved requests, responses, status codes, assertions and timings in a JSON report. Baseline11 compares two reports to prove which response values are dynamic and where later requests reuse them.</w:t>
      </w:r>
    </w:p>
    <w:p>
      <w:pPr>
        <w:spacing w:before="60" w:after="140" w:line="252" w:lineRule="auto"/>
        <w:ind w:left="360" w:right="216"/>
        <w:shd w:fill="F2F4F7"/>
      </w:pPr>
      <w:r>
        <w:rPr>
          <w:rFonts w:ascii="Consolas" w:hAnsi="Consolas"/>
          <w:sz w:val="16"/>
        </w:rPr>
        <w:t>Postman collection + environment</w:t>
      </w:r>
      <w:r>
        <w:br/>
      </w:r>
      <w:r>
        <w:rPr>
          <w:rFonts w:ascii="Consolas" w:hAnsi="Consolas"/>
          <w:sz w:val="16"/>
        </w:rPr>
        <w:t xml:space="preserve">        |</w:t>
      </w:r>
      <w:r>
        <w:br/>
      </w:r>
      <w:r>
        <w:rPr>
          <w:rFonts w:ascii="Consolas" w:hAnsi="Consolas"/>
          <w:sz w:val="16"/>
        </w:rPr>
        <w:t xml:space="preserve">        +--&gt; Newman baseline run   --&gt; baseline.json</w:t>
      </w:r>
      <w:r>
        <w:br/>
      </w:r>
      <w:r>
        <w:rPr>
          <w:rFonts w:ascii="Consolas" w:hAnsi="Consolas"/>
          <w:sz w:val="16"/>
        </w:rPr>
        <w:t xml:space="preserve">        +--&gt; Newman comparison run --&gt; comparison.json</w:t>
      </w:r>
      <w:r>
        <w:br/>
      </w:r>
      <w:r>
        <w:rPr>
          <w:rFonts w:ascii="Consolas" w:hAnsi="Consolas"/>
          <w:sz w:val="16"/>
        </w:rPr>
        <w:t xml:space="preserve">                                      |</w:t>
      </w:r>
      <w:r>
        <w:br/>
      </w:r>
      <w:r>
        <w:rPr>
          <w:rFonts w:ascii="Consolas" w:hAnsi="Consolas"/>
          <w:sz w:val="16"/>
        </w:rPr>
        <w:t xml:space="preserve">                                      +--&gt; Baseline11 --&gt; correlated JMX --&gt; JMeter</w:t>
      </w:r>
    </w:p>
    <w:p>
      <w:pPr>
        <w:pStyle w:val="Heading2"/>
      </w:pPr>
      <w:r>
        <w:t>Why Two Runs</w:t>
      </w:r>
    </w:p>
    <w:p>
      <w:r>
        <w:t>A single run can show that a value is reused, but it cannot reliably distinguish a dynamic identifier from static configuration. Two successful runs show that the value changes while the producer response path and consumer request locations remain stable.</w:t>
      </w:r>
    </w:p>
    <w:p>
      <w:pPr>
        <w:pStyle w:val="Heading1"/>
      </w:pPr>
      <w:r>
        <w:t>1 Run a Postman Collection in Baseline11 (Recommended)</w:t>
      </w:r>
    </w:p>
    <w:p>
      <w:r>
        <w:t>Baseline11 can execute the collection for you. It inspects the collection first, asks for any missing values, then runs it twice with Newman 6.2.2 in fresh isolated containers from identical starting values. Both reports go through exactly the same analysis as uploaded reports.</w:t>
      </w:r>
    </w:p>
    <w:p>
      <w:pPr>
        <w:jc w:val="center"/>
      </w:pPr>
      <w:r>
        <w:drawing>
          <wp:inline xmlns:a="http://schemas.openxmlformats.org/drawingml/2006/main" xmlns:pic="http://schemas.openxmlformats.org/drawingml/2006/picture">
            <wp:extent cx="5120640" cy="1400175"/>
            <wp:docPr id="1" name="Picture 1" descr="Baseline11 start screen offering Run a Postman collection (recommended) or Upload existing Newman reports (advanced)"/>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1400175"/>
                    </a:xfrm>
                    <a:prstGeom prst="rect"/>
                  </pic:spPr>
                </pic:pic>
              </a:graphicData>
            </a:graphic>
          </wp:inline>
        </w:drawing>
      </w:r>
    </w:p>
    <w:p>
      <w:pPr>
        <w:spacing w:before="60" w:after="180"/>
        <w:jc w:val="center"/>
      </w:pPr>
      <w:r>
        <w:rPr>
          <w:i/>
          <w:color w:val="555555"/>
          <w:sz w:val="17"/>
        </w:rPr>
        <w:t>Figure 1  Choose Run a Postman collection</w:t>
      </w:r>
    </w:p>
    <w:p>
      <w:pPr>
        <w:pStyle w:val="Heading2"/>
      </w:pPr>
      <w:r>
        <w:t>Step 1  Files</w:t>
      </w:r>
    </w:p>
    <w:p>
      <w:r>
        <w:t>Add the exported collection (.postman_collection.json) and, if the collection uses one, the environment (.postman_environment.json). Click Inspect collection. Inspection reads the files only; no request is sent to any API.</w:t>
      </w:r>
    </w:p>
    <w:p>
      <w:pPr>
        <w:pStyle w:val="Heading2"/>
      </w:pPr>
      <w:r>
        <w:t>Step 2  Variables</w:t>
      </w:r>
    </w:p>
    <w:p>
      <w:r>
        <w:t>Baseline11 lists every variable the collection uses and where each one comes from: the environment file, a Postman built-in such as $guid, or a script in the collection that sets it at runtime. Variables with no source must be supplied before the run can start; values are never silently replaced with empty strings. Secret-looking variables are masked and are never written to logs, job status, errors or the generated JMX.</w:t>
      </w:r>
    </w:p>
    <w:p>
      <w:pPr>
        <w:jc w:val="center"/>
      </w:pPr>
      <w:r>
        <w:drawing>
          <wp:inline xmlns:a="http://schemas.openxmlformats.org/drawingml/2006/main" xmlns:pic="http://schemas.openxmlformats.org/drawingml/2006/picture">
            <wp:extent cx="5120640" cy="2640330"/>
            <wp:docPr id="2" name="Picture 2" descr="Variables step asking for a hidden api_key and listing three variables already resolved"/>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20640" cy="2640330"/>
                    </a:xfrm>
                    <a:prstGeom prst="rect"/>
                  </pic:spPr>
                </pic:pic>
              </a:graphicData>
            </a:graphic>
          </wp:inline>
        </w:drawing>
      </w:r>
    </w:p>
    <w:p>
      <w:pPr>
        <w:spacing w:before="60" w:after="180"/>
        <w:jc w:val="center"/>
      </w:pPr>
      <w:r>
        <w:rPr>
          <w:i/>
          <w:color w:val="555555"/>
          <w:sz w:val="17"/>
        </w:rPr>
        <w:t>Figure 2  Supply missing values; resolved variables show their source</w:t>
      </w:r>
    </w:p>
    <w:p>
      <w:pPr>
        <w:pStyle w:val="Heading2"/>
      </w:pPr>
      <w:r>
        <w:t>Step 3  Scope and review</w:t>
      </w:r>
    </w:p>
    <w:p>
      <w:r>
        <w:t>Pick the whole collection or a single folder, then check the summary: request count, target domains, the values you supplied and the execution limits. Click Run collection twice. Repeated clicks do not start duplicate jobs.</w:t>
      </w:r>
    </w:p>
    <w:p>
      <w:pPr>
        <w:jc w:val="center"/>
      </w:pPr>
      <w:r>
        <w:drawing>
          <wp:inline xmlns:a="http://schemas.openxmlformats.org/drawingml/2006/main" xmlns:pic="http://schemas.openxmlformats.org/drawingml/2006/picture">
            <wp:extent cx="5120640" cy="2808351"/>
            <wp:docPr id="3" name="Picture 3" descr="Scope and review step showing collection, environment, three requests, target domain postman-echo.com and execution limit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2808351"/>
                    </a:xfrm>
                    <a:prstGeom prst="rect"/>
                  </pic:spPr>
                </pic:pic>
              </a:graphicData>
            </a:graphic>
          </wp:inline>
        </w:drawing>
      </w:r>
    </w:p>
    <w:p>
      <w:pPr>
        <w:spacing w:before="60" w:after="180"/>
        <w:jc w:val="center"/>
      </w:pPr>
      <w:r>
        <w:rPr>
          <w:i/>
          <w:color w:val="555555"/>
          <w:sz w:val="17"/>
        </w:rPr>
        <w:t>Figure 3  Confirm what will run before anything is sent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728"/>
            <w:shd w:fill="17365D"/>
            <w:vAlign w:val="center"/>
            <w:tcMar>
              <w:top w:w="110" w:type="dxa"/>
              <w:start w:w="120" w:type="dxa"/>
              <w:bottom w:w="110" w:type="dxa"/>
              <w:end w:w="120" w:type="dxa"/>
            </w:tcMar>
          </w:tcPr>
          <w:p>
            <w:pPr>
              <w:jc w:val="center"/>
            </w:pPr>
            <w:r>
              <w:rPr>
                <w:b/>
                <w:color w:val="FFFFFF"/>
                <w:sz w:val="18"/>
              </w:rPr>
              <w:t>Limit</w:t>
            </w:r>
          </w:p>
        </w:tc>
        <w:tc>
          <w:tcPr>
            <w:tcW w:type="dxa" w:w="3240"/>
            <w:shd w:fill="17365D"/>
            <w:vAlign w:val="center"/>
            <w:tcMar>
              <w:top w:w="110" w:type="dxa"/>
              <w:start w:w="120" w:type="dxa"/>
              <w:bottom w:w="110" w:type="dxa"/>
              <w:end w:w="120" w:type="dxa"/>
            </w:tcMar>
          </w:tcPr>
          <w:p>
            <w:pPr>
              <w:jc w:val="center"/>
            </w:pPr>
            <w:r>
              <w:rPr>
                <w:b/>
                <w:color w:val="FFFFFF"/>
                <w:sz w:val="18"/>
              </w:rPr>
              <w:t>Value</w:t>
            </w:r>
          </w:p>
        </w:tc>
        <w:tc>
          <w:tcPr>
            <w:tcW w:type="dxa" w:w="3888"/>
            <w:shd w:fill="17365D"/>
            <w:vAlign w:val="center"/>
            <w:tcMar>
              <w:top w:w="110" w:type="dxa"/>
              <w:start w:w="120" w:type="dxa"/>
              <w:bottom w:w="110" w:type="dxa"/>
              <w:end w:w="120" w:type="dxa"/>
            </w:tcMar>
          </w:tcPr>
          <w:p>
            <w:pPr>
              <w:jc w:val="center"/>
            </w:pPr>
            <w:r>
              <w:rPr>
                <w:b/>
                <w:color w:val="FFFFFF"/>
                <w:sz w:val="18"/>
              </w:rPr>
              <w:t>Why</w:t>
            </w:r>
          </w:p>
        </w:tc>
      </w:tr>
      <w:tr>
        <w:tc>
          <w:tcPr>
            <w:tcW w:type="dxa" w:w="1728"/>
            <w:vAlign w:val="center"/>
            <w:tcMar>
              <w:top w:w="110" w:type="dxa"/>
              <w:start w:w="120" w:type="dxa"/>
              <w:bottom w:w="110" w:type="dxa"/>
              <w:end w:w="120" w:type="dxa"/>
            </w:tcMar>
          </w:tcPr>
          <w:p>
            <w:pPr>
              <w:spacing w:after="0"/>
            </w:pPr>
            <w:r>
              <w:rPr>
                <w:sz w:val="18"/>
              </w:rPr>
              <w:t>Runs</w:t>
            </w:r>
          </w:p>
        </w:tc>
        <w:tc>
          <w:tcPr>
            <w:tcW w:type="dxa" w:w="3240"/>
            <w:vAlign w:val="center"/>
            <w:tcMar>
              <w:top w:w="110" w:type="dxa"/>
              <w:start w:w="120" w:type="dxa"/>
              <w:bottom w:w="110" w:type="dxa"/>
              <w:end w:w="120" w:type="dxa"/>
            </w:tcMar>
          </w:tcPr>
          <w:p>
            <w:pPr>
              <w:spacing w:after="0"/>
            </w:pPr>
            <w:r>
              <w:rPr>
                <w:sz w:val="18"/>
              </w:rPr>
              <w:t>2 (baseline and comparison)</w:t>
            </w:r>
          </w:p>
        </w:tc>
        <w:tc>
          <w:tcPr>
            <w:tcW w:type="dxa" w:w="3888"/>
            <w:vAlign w:val="center"/>
            <w:tcMar>
              <w:top w:w="110" w:type="dxa"/>
              <w:start w:w="120" w:type="dxa"/>
              <w:bottom w:w="110" w:type="dxa"/>
              <w:end w:w="120" w:type="dxa"/>
            </w:tcMar>
          </w:tcPr>
          <w:p>
            <w:pPr>
              <w:spacing w:after="0"/>
            </w:pPr>
            <w:r>
              <w:rPr>
                <w:sz w:val="18"/>
              </w:rPr>
              <w:t>Two runs prove which values are dynamic.</w:t>
            </w:r>
          </w:p>
        </w:tc>
      </w:tr>
      <w:tr>
        <w:tc>
          <w:tcPr>
            <w:tcW w:type="dxa" w:w="1728"/>
            <w:vAlign w:val="center"/>
            <w:tcMar>
              <w:top w:w="110" w:type="dxa"/>
              <w:start w:w="120" w:type="dxa"/>
              <w:bottom w:w="110" w:type="dxa"/>
              <w:end w:w="120" w:type="dxa"/>
            </w:tcMar>
            <w:shd w:fill="F7F9FB"/>
          </w:tcPr>
          <w:p>
            <w:pPr>
              <w:spacing w:after="0"/>
            </w:pPr>
            <w:r>
              <w:rPr>
                <w:sz w:val="18"/>
              </w:rPr>
              <w:t>Time</w:t>
            </w:r>
          </w:p>
        </w:tc>
        <w:tc>
          <w:tcPr>
            <w:tcW w:type="dxa" w:w="3240"/>
            <w:vAlign w:val="center"/>
            <w:tcMar>
              <w:top w:w="110" w:type="dxa"/>
              <w:start w:w="120" w:type="dxa"/>
              <w:bottom w:w="110" w:type="dxa"/>
              <w:end w:w="120" w:type="dxa"/>
            </w:tcMar>
            <w:shd w:fill="F7F9FB"/>
          </w:tcPr>
          <w:p>
            <w:pPr>
              <w:spacing w:after="0"/>
            </w:pPr>
            <w:r>
              <w:rPr>
                <w:sz w:val="18"/>
              </w:rPr>
              <w:t>5 minutes per run</w:t>
            </w:r>
          </w:p>
        </w:tc>
        <w:tc>
          <w:tcPr>
            <w:tcW w:type="dxa" w:w="3888"/>
            <w:vAlign w:val="center"/>
            <w:tcMar>
              <w:top w:w="110" w:type="dxa"/>
              <w:start w:w="120" w:type="dxa"/>
              <w:bottom w:w="110" w:type="dxa"/>
              <w:end w:w="120" w:type="dxa"/>
            </w:tcMar>
            <w:shd w:fill="F7F9FB"/>
          </w:tcPr>
          <w:p>
            <w:pPr>
              <w:spacing w:after="0"/>
            </w:pPr>
            <w:r>
              <w:rPr>
                <w:sz w:val="18"/>
              </w:rPr>
              <w:t>Stops hanging endpoints and runaway scripts.</w:t>
            </w:r>
          </w:p>
        </w:tc>
      </w:tr>
      <w:tr>
        <w:tc>
          <w:tcPr>
            <w:tcW w:type="dxa" w:w="1728"/>
            <w:vAlign w:val="center"/>
            <w:tcMar>
              <w:top w:w="110" w:type="dxa"/>
              <w:start w:w="120" w:type="dxa"/>
              <w:bottom w:w="110" w:type="dxa"/>
              <w:end w:w="120" w:type="dxa"/>
            </w:tcMar>
          </w:tcPr>
          <w:p>
            <w:pPr>
              <w:spacing w:after="0"/>
            </w:pPr>
            <w:r>
              <w:rPr>
                <w:sz w:val="18"/>
              </w:rPr>
              <w:t>Report size</w:t>
            </w:r>
          </w:p>
        </w:tc>
        <w:tc>
          <w:tcPr>
            <w:tcW w:type="dxa" w:w="3240"/>
            <w:vAlign w:val="center"/>
            <w:tcMar>
              <w:top w:w="110" w:type="dxa"/>
              <w:start w:w="120" w:type="dxa"/>
              <w:bottom w:w="110" w:type="dxa"/>
              <w:end w:w="120" w:type="dxa"/>
            </w:tcMar>
          </w:tcPr>
          <w:p>
            <w:pPr>
              <w:spacing w:after="0"/>
            </w:pPr>
            <w:r>
              <w:rPr>
                <w:sz w:val="18"/>
              </w:rPr>
              <w:t>25 MiB per run</w:t>
            </w:r>
          </w:p>
        </w:tc>
        <w:tc>
          <w:tcPr>
            <w:tcW w:type="dxa" w:w="3888"/>
            <w:vAlign w:val="center"/>
            <w:tcMar>
              <w:top w:w="110" w:type="dxa"/>
              <w:start w:w="120" w:type="dxa"/>
              <w:bottom w:w="110" w:type="dxa"/>
              <w:end w:w="120" w:type="dxa"/>
            </w:tcMar>
          </w:tcPr>
          <w:p>
            <w:pPr>
              <w:spacing w:after="0"/>
            </w:pPr>
            <w:r>
              <w:rPr>
                <w:sz w:val="18"/>
              </w:rPr>
              <w:t>Keeps analysis responsive; choose a folder for large collections.</w:t>
            </w:r>
          </w:p>
        </w:tc>
      </w:tr>
      <w:tr>
        <w:tc>
          <w:tcPr>
            <w:tcW w:type="dxa" w:w="1728"/>
            <w:vAlign w:val="center"/>
            <w:tcMar>
              <w:top w:w="110" w:type="dxa"/>
              <w:start w:w="120" w:type="dxa"/>
              <w:bottom w:w="110" w:type="dxa"/>
              <w:end w:w="120" w:type="dxa"/>
            </w:tcMar>
            <w:shd w:fill="F7F9FB"/>
          </w:tcPr>
          <w:p>
            <w:pPr>
              <w:spacing w:after="0"/>
            </w:pPr>
            <w:r>
              <w:rPr>
                <w:sz w:val="18"/>
              </w:rPr>
              <w:t>Destinations</w:t>
            </w:r>
          </w:p>
        </w:tc>
        <w:tc>
          <w:tcPr>
            <w:tcW w:type="dxa" w:w="3240"/>
            <w:vAlign w:val="center"/>
            <w:tcMar>
              <w:top w:w="110" w:type="dxa"/>
              <w:start w:w="120" w:type="dxa"/>
              <w:bottom w:w="110" w:type="dxa"/>
              <w:end w:w="120" w:type="dxa"/>
            </w:tcMar>
            <w:shd w:fill="F7F9FB"/>
          </w:tcPr>
          <w:p>
            <w:pPr>
              <w:spacing w:after="0"/>
            </w:pPr>
            <w:r>
              <w:rPr>
                <w:sz w:val="18"/>
              </w:rPr>
              <w:t>Public HTTPS only; redirects not followed</w:t>
            </w:r>
          </w:p>
        </w:tc>
        <w:tc>
          <w:tcPr>
            <w:tcW w:type="dxa" w:w="3888"/>
            <w:vAlign w:val="center"/>
            <w:tcMar>
              <w:top w:w="110" w:type="dxa"/>
              <w:start w:w="120" w:type="dxa"/>
              <w:bottom w:w="110" w:type="dxa"/>
              <w:end w:w="120" w:type="dxa"/>
            </w:tcMar>
            <w:shd w:fill="F7F9FB"/>
          </w:tcPr>
          <w:p>
            <w:pPr>
              <w:spacing w:after="0"/>
            </w:pPr>
            <w:r>
              <w:rPr>
                <w:sz w:val="18"/>
              </w:rPr>
              <w:t>Blocks localhost, private networks and cloud metadata addresses.</w:t>
            </w:r>
          </w:p>
        </w:tc>
      </w:tr>
      <w:tr>
        <w:tc>
          <w:tcPr>
            <w:tcW w:type="dxa" w:w="1728"/>
            <w:vAlign w:val="center"/>
            <w:tcMar>
              <w:top w:w="110" w:type="dxa"/>
              <w:start w:w="120" w:type="dxa"/>
              <w:bottom w:w="110" w:type="dxa"/>
              <w:end w:w="120" w:type="dxa"/>
            </w:tcMar>
          </w:tcPr>
          <w:p>
            <w:pPr>
              <w:spacing w:after="0"/>
            </w:pPr>
            <w:r>
              <w:rPr>
                <w:sz w:val="18"/>
              </w:rPr>
              <w:t>Isolation</w:t>
            </w:r>
          </w:p>
        </w:tc>
        <w:tc>
          <w:tcPr>
            <w:tcW w:type="dxa" w:w="3240"/>
            <w:vAlign w:val="center"/>
            <w:tcMar>
              <w:top w:w="110" w:type="dxa"/>
              <w:start w:w="120" w:type="dxa"/>
              <w:bottom w:w="110" w:type="dxa"/>
              <w:end w:w="120" w:type="dxa"/>
            </w:tcMar>
          </w:tcPr>
          <w:p>
            <w:pPr>
              <w:spacing w:after="0"/>
            </w:pPr>
            <w:r>
              <w:rPr>
                <w:sz w:val="18"/>
              </w:rPr>
              <w:t>Fresh container per run, no host files or credentials</w:t>
            </w:r>
          </w:p>
        </w:tc>
        <w:tc>
          <w:tcPr>
            <w:tcW w:type="dxa" w:w="3888"/>
            <w:vAlign w:val="center"/>
            <w:tcMar>
              <w:top w:w="110" w:type="dxa"/>
              <w:start w:w="120" w:type="dxa"/>
              <w:bottom w:w="110" w:type="dxa"/>
              <w:end w:w="120" w:type="dxa"/>
            </w:tcMar>
          </w:tcPr>
          <w:p>
            <w:pPr>
              <w:spacing w:after="0"/>
            </w:pPr>
            <w:r>
              <w:rPr>
                <w:sz w:val="18"/>
              </w:rPr>
              <w:t>Collection scripts are untrusted code.</w:t>
            </w:r>
          </w:p>
        </w:tc>
      </w:tr>
    </w:tbl>
    <w:p>
      <w:pPr>
        <w:spacing w:after="0"/>
      </w:pPr>
    </w:p>
    <w:p>
      <w:pPr>
        <w:pStyle w:val="Heading2"/>
      </w:pPr>
      <w:r>
        <w:t>Step 4  Execution progress</w:t>
      </w:r>
    </w:p>
    <w:p>
      <w:r>
        <w:t>The progress view shows each stage: waiting for a runner, checking destinations, Run A, Run B, and analysis. A run can be cancelled at any time.</w:t>
      </w:r>
    </w:p>
    <w:p>
      <w:pPr>
        <w:jc w:val="center"/>
      </w:pPr>
      <w:r>
        <w:drawing>
          <wp:inline xmlns:a="http://schemas.openxmlformats.org/drawingml/2006/main" xmlns:pic="http://schemas.openxmlformats.org/drawingml/2006/picture">
            <wp:extent cx="5120640" cy="1804226"/>
            <wp:docPr id="4" name="Picture 4" descr="Execution progress with runner and destination checks complete and Run A executing"/>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20640" cy="1804226"/>
                    </a:xfrm>
                    <a:prstGeom prst="rect"/>
                  </pic:spPr>
                </pic:pic>
              </a:graphicData>
            </a:graphic>
          </wp:inline>
        </w:drawing>
      </w:r>
    </w:p>
    <w:p>
      <w:pPr>
        <w:spacing w:before="60" w:after="180"/>
        <w:jc w:val="center"/>
      </w:pPr>
      <w:r>
        <w:rPr>
          <w:i/>
          <w:color w:val="555555"/>
          <w:sz w:val="17"/>
        </w:rPr>
        <w:t>Figure 4  Two isolated Newman runs, then the standard analysis</w:t>
      </w:r>
    </w:p>
    <w:p>
      <w:pPr>
        <w:pStyle w:val="Heading2"/>
      </w:pPr>
      <w:r>
        <w:t>Step 5  Analysis results</w:t>
      </w:r>
    </w:p>
    <w:p>
      <w:r>
        <w:t>When both runs finish, Baseline11 opens the same analysis screens used for uploaded reports, starting with Run Health. Continue with section 5 to review and accept correlations.</w:t>
      </w:r>
    </w:p>
    <w:p>
      <w:pPr>
        <w:jc w:val="center"/>
      </w:pPr>
      <w:r>
        <w:drawing>
          <wp:inline xmlns:a="http://schemas.openxmlformats.org/drawingml/2006/main" xmlns:pic="http://schemas.openxmlformats.org/drawingml/2006/picture">
            <wp:extent cx="5669280" cy="3397139"/>
            <wp:docPr id="5" name="Picture 5" descr="Run Health for the executed collection showing readiness ready, one correlation and two healthy run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397139"/>
                    </a:xfrm>
                    <a:prstGeom prst="rect"/>
                  </pic:spPr>
                </pic:pic>
              </a:graphicData>
            </a:graphic>
          </wp:inline>
        </w:drawing>
      </w:r>
    </w:p>
    <w:p>
      <w:pPr>
        <w:spacing w:before="60" w:after="180"/>
        <w:jc w:val="center"/>
      </w:pPr>
      <w:r>
        <w:rPr>
          <w:i/>
          <w:color w:val="555555"/>
          <w:sz w:val="17"/>
        </w:rPr>
        <w:t>Figure 5  The executed collection opens directly in Run Health</w:t>
      </w:r>
    </w:p>
    <w:p>
      <w:pPr>
        <w:pStyle w:val="Heading2"/>
      </w:pPr>
      <w:r>
        <w:t>When a run does not complete</w:t>
      </w:r>
    </w:p>
    <w:p>
      <w:r>
        <w:t>Failures are shown in the progress view with the reason, the affected request and what to do next. Retry reuses the same inputs; Start over returns to the files step.</w:t>
      </w:r>
    </w:p>
    <w:p>
      <w:pPr>
        <w:jc w:val="center"/>
      </w:pPr>
      <w:r>
        <w:drawing>
          <wp:inline xmlns:a="http://schemas.openxmlformats.org/drawingml/2006/main" xmlns:pic="http://schemas.openxmlformats.org/drawingml/2006/picture">
            <wp:extent cx="5120640" cy="2812352"/>
            <wp:docPr id="6" name="Picture 6" descr="Failure panel stating that request Internal admin targets a private IP and was blocked by destination validatio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20640" cy="2812352"/>
                    </a:xfrm>
                    <a:prstGeom prst="rect"/>
                  </pic:spPr>
                </pic:pic>
              </a:graphicData>
            </a:graphic>
          </wp:inline>
        </w:drawing>
      </w:r>
    </w:p>
    <w:p>
      <w:pPr>
        <w:spacing w:before="60" w:after="180"/>
        <w:jc w:val="center"/>
      </w:pPr>
      <w:r>
        <w:rPr>
          <w:i/>
          <w:color w:val="555555"/>
          <w:sz w:val="17"/>
        </w:rPr>
        <w:t>Figure 6  A blocked private destination, with guidance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664"/>
            <w:shd w:fill="17365D"/>
            <w:vAlign w:val="center"/>
            <w:tcMar>
              <w:top w:w="110" w:type="dxa"/>
              <w:start w:w="120" w:type="dxa"/>
              <w:bottom w:w="110" w:type="dxa"/>
              <w:end w:w="120" w:type="dxa"/>
            </w:tcMar>
          </w:tcPr>
          <w:p>
            <w:pPr>
              <w:jc w:val="center"/>
            </w:pPr>
            <w:r>
              <w:rPr>
                <w:b/>
                <w:color w:val="FFFFFF"/>
                <w:sz w:val="18"/>
              </w:rPr>
              <w:t>Code</w:t>
            </w:r>
          </w:p>
        </w:tc>
        <w:tc>
          <w:tcPr>
            <w:tcW w:type="dxa" w:w="3168"/>
            <w:shd w:fill="17365D"/>
            <w:vAlign w:val="center"/>
            <w:tcMar>
              <w:top w:w="110" w:type="dxa"/>
              <w:start w:w="120" w:type="dxa"/>
              <w:bottom w:w="110" w:type="dxa"/>
              <w:end w:w="120" w:type="dxa"/>
            </w:tcMar>
          </w:tcPr>
          <w:p>
            <w:pPr>
              <w:jc w:val="center"/>
            </w:pPr>
            <w:r>
              <w:rPr>
                <w:b/>
                <w:color w:val="FFFFFF"/>
                <w:sz w:val="18"/>
              </w:rPr>
              <w:t>Meaning</w:t>
            </w:r>
          </w:p>
        </w:tc>
        <w:tc>
          <w:tcPr>
            <w:tcW w:type="dxa" w:w="3024"/>
            <w:shd w:fill="17365D"/>
            <w:vAlign w:val="center"/>
            <w:tcMar>
              <w:top w:w="110" w:type="dxa"/>
              <w:start w:w="120" w:type="dxa"/>
              <w:bottom w:w="110" w:type="dxa"/>
              <w:end w:w="120" w:type="dxa"/>
            </w:tcMar>
          </w:tcPr>
          <w:p>
            <w:pPr>
              <w:jc w:val="center"/>
            </w:pPr>
            <w:r>
              <w:rPr>
                <w:b/>
                <w:color w:val="FFFFFF"/>
                <w:sz w:val="18"/>
              </w:rPr>
              <w:t>Tester action</w:t>
            </w:r>
          </w:p>
        </w:tc>
      </w:tr>
      <w:tr>
        <w:tc>
          <w:tcPr>
            <w:tcW w:type="dxa" w:w="2664"/>
            <w:vAlign w:val="center"/>
            <w:tcMar>
              <w:top w:w="110" w:type="dxa"/>
              <w:start w:w="120" w:type="dxa"/>
              <w:bottom w:w="110" w:type="dxa"/>
              <w:end w:w="120" w:type="dxa"/>
            </w:tcMar>
          </w:tcPr>
          <w:p>
            <w:pPr>
              <w:spacing w:after="0"/>
            </w:pPr>
            <w:r>
              <w:rPr>
                <w:sz w:val="18"/>
              </w:rPr>
              <w:t>destination_validation_failed</w:t>
            </w:r>
          </w:p>
        </w:tc>
        <w:tc>
          <w:tcPr>
            <w:tcW w:type="dxa" w:w="3168"/>
            <w:vAlign w:val="center"/>
            <w:tcMar>
              <w:top w:w="110" w:type="dxa"/>
              <w:start w:w="120" w:type="dxa"/>
              <w:bottom w:w="110" w:type="dxa"/>
              <w:end w:w="120" w:type="dxa"/>
            </w:tcMar>
          </w:tcPr>
          <w:p>
            <w:pPr>
              <w:spacing w:after="0"/>
            </w:pPr>
            <w:r>
              <w:rPr>
                <w:sz w:val="18"/>
              </w:rPr>
              <w:t>A request targets localhost, a private or metadata IP, or plain HTTP.</w:t>
            </w:r>
          </w:p>
        </w:tc>
        <w:tc>
          <w:tcPr>
            <w:tcW w:type="dxa" w:w="3024"/>
            <w:vAlign w:val="center"/>
            <w:tcMar>
              <w:top w:w="110" w:type="dxa"/>
              <w:start w:w="120" w:type="dxa"/>
              <w:bottom w:w="110" w:type="dxa"/>
              <w:end w:w="120" w:type="dxa"/>
            </w:tcMar>
          </w:tcPr>
          <w:p>
            <w:pPr>
              <w:spacing w:after="0"/>
            </w:pPr>
            <w:r>
              <w:rPr>
                <w:sz w:val="18"/>
              </w:rPr>
              <w:t>Point host variables at a public HTTPS address, or use advanced mode from inside the network.</w:t>
            </w:r>
          </w:p>
        </w:tc>
      </w:tr>
      <w:tr>
        <w:tc>
          <w:tcPr>
            <w:tcW w:type="dxa" w:w="2664"/>
            <w:vAlign w:val="center"/>
            <w:tcMar>
              <w:top w:w="110" w:type="dxa"/>
              <w:start w:w="120" w:type="dxa"/>
              <w:bottom w:w="110" w:type="dxa"/>
              <w:end w:w="120" w:type="dxa"/>
            </w:tcMar>
            <w:shd w:fill="F7F9FB"/>
          </w:tcPr>
          <w:p>
            <w:pPr>
              <w:spacing w:after="0"/>
            </w:pPr>
            <w:r>
              <w:rPr>
                <w:sz w:val="18"/>
              </w:rPr>
              <w:t>timeout</w:t>
            </w:r>
          </w:p>
        </w:tc>
        <w:tc>
          <w:tcPr>
            <w:tcW w:type="dxa" w:w="3168"/>
            <w:vAlign w:val="center"/>
            <w:tcMar>
              <w:top w:w="110" w:type="dxa"/>
              <w:start w:w="120" w:type="dxa"/>
              <w:bottom w:w="110" w:type="dxa"/>
              <w:end w:w="120" w:type="dxa"/>
            </w:tcMar>
            <w:shd w:fill="F7F9FB"/>
          </w:tcPr>
          <w:p>
            <w:pPr>
              <w:spacing w:after="0"/>
            </w:pPr>
            <w:r>
              <w:rPr>
                <w:sz w:val="18"/>
              </w:rPr>
              <w:t>A run exceeded 5 minutes.</w:t>
            </w:r>
          </w:p>
        </w:tc>
        <w:tc>
          <w:tcPr>
            <w:tcW w:type="dxa" w:w="3024"/>
            <w:vAlign w:val="center"/>
            <w:tcMar>
              <w:top w:w="110" w:type="dxa"/>
              <w:start w:w="120" w:type="dxa"/>
              <w:bottom w:w="110" w:type="dxa"/>
              <w:end w:w="120" w:type="dxa"/>
            </w:tcMar>
            <w:shd w:fill="F7F9FB"/>
          </w:tcPr>
          <w:p>
            <w:pPr>
              <w:spacing w:after="0"/>
            </w:pPr>
            <w:r>
              <w:rPr>
                <w:sz w:val="18"/>
              </w:rPr>
              <w:t>Choose a smaller folder or check for a hanging endpoint.</w:t>
            </w:r>
          </w:p>
        </w:tc>
      </w:tr>
      <w:tr>
        <w:tc>
          <w:tcPr>
            <w:tcW w:type="dxa" w:w="2664"/>
            <w:vAlign w:val="center"/>
            <w:tcMar>
              <w:top w:w="110" w:type="dxa"/>
              <w:start w:w="120" w:type="dxa"/>
              <w:bottom w:w="110" w:type="dxa"/>
              <w:end w:w="120" w:type="dxa"/>
            </w:tcMar>
          </w:tcPr>
          <w:p>
            <w:pPr>
              <w:spacing w:after="0"/>
            </w:pPr>
            <w:r>
              <w:rPr>
                <w:sz w:val="18"/>
              </w:rPr>
              <w:t>report_too_large</w:t>
            </w:r>
          </w:p>
        </w:tc>
        <w:tc>
          <w:tcPr>
            <w:tcW w:type="dxa" w:w="3168"/>
            <w:vAlign w:val="center"/>
            <w:tcMar>
              <w:top w:w="110" w:type="dxa"/>
              <w:start w:w="120" w:type="dxa"/>
              <w:bottom w:w="110" w:type="dxa"/>
              <w:end w:w="120" w:type="dxa"/>
            </w:tcMar>
          </w:tcPr>
          <w:p>
            <w:pPr>
              <w:spacing w:after="0"/>
            </w:pPr>
            <w:r>
              <w:rPr>
                <w:sz w:val="18"/>
              </w:rPr>
              <w:t>A run produced a report over 25 MiB.</w:t>
            </w:r>
          </w:p>
        </w:tc>
        <w:tc>
          <w:tcPr>
            <w:tcW w:type="dxa" w:w="3024"/>
            <w:vAlign w:val="center"/>
            <w:tcMar>
              <w:top w:w="110" w:type="dxa"/>
              <w:start w:w="120" w:type="dxa"/>
              <w:bottom w:w="110" w:type="dxa"/>
              <w:end w:w="120" w:type="dxa"/>
            </w:tcMar>
          </w:tcPr>
          <w:p>
            <w:pPr>
              <w:spacing w:after="0"/>
            </w:pPr>
            <w:r>
              <w:rPr>
                <w:sz w:val="18"/>
              </w:rPr>
              <w:t>Choose a smaller folder.</w:t>
            </w:r>
          </w:p>
        </w:tc>
      </w:tr>
      <w:tr>
        <w:tc>
          <w:tcPr>
            <w:tcW w:type="dxa" w:w="2664"/>
            <w:vAlign w:val="center"/>
            <w:tcMar>
              <w:top w:w="110" w:type="dxa"/>
              <w:start w:w="120" w:type="dxa"/>
              <w:bottom w:w="110" w:type="dxa"/>
              <w:end w:w="120" w:type="dxa"/>
            </w:tcMar>
            <w:shd w:fill="F7F9FB"/>
          </w:tcPr>
          <w:p>
            <w:pPr>
              <w:spacing w:after="0"/>
            </w:pPr>
            <w:r>
              <w:rPr>
                <w:sz w:val="18"/>
              </w:rPr>
              <w:t>resource_limit</w:t>
            </w:r>
          </w:p>
        </w:tc>
        <w:tc>
          <w:tcPr>
            <w:tcW w:type="dxa" w:w="3168"/>
            <w:vAlign w:val="center"/>
            <w:tcMar>
              <w:top w:w="110" w:type="dxa"/>
              <w:start w:w="120" w:type="dxa"/>
              <w:bottom w:w="110" w:type="dxa"/>
              <w:end w:w="120" w:type="dxa"/>
            </w:tcMar>
            <w:shd w:fill="F7F9FB"/>
          </w:tcPr>
          <w:p>
            <w:pPr>
              <w:spacing w:after="0"/>
            </w:pPr>
            <w:r>
              <w:rPr>
                <w:sz w:val="18"/>
              </w:rPr>
              <w:t>A run used too much memory or too many processes.</w:t>
            </w:r>
          </w:p>
        </w:tc>
        <w:tc>
          <w:tcPr>
            <w:tcW w:type="dxa" w:w="3024"/>
            <w:vAlign w:val="center"/>
            <w:tcMar>
              <w:top w:w="110" w:type="dxa"/>
              <w:start w:w="120" w:type="dxa"/>
              <w:bottom w:w="110" w:type="dxa"/>
              <w:end w:w="120" w:type="dxa"/>
            </w:tcMar>
            <w:shd w:fill="F7F9FB"/>
          </w:tcPr>
          <w:p>
            <w:pPr>
              <w:spacing w:after="0"/>
            </w:pPr>
            <w:r>
              <w:rPr>
                <w:sz w:val="18"/>
              </w:rPr>
              <w:t>Try a smaller folder or simplify heavy scripts.</w:t>
            </w:r>
          </w:p>
        </w:tc>
      </w:tr>
      <w:tr>
        <w:tc>
          <w:tcPr>
            <w:tcW w:type="dxa" w:w="2664"/>
            <w:vAlign w:val="center"/>
            <w:tcMar>
              <w:top w:w="110" w:type="dxa"/>
              <w:start w:w="120" w:type="dxa"/>
              <w:bottom w:w="110" w:type="dxa"/>
              <w:end w:w="120" w:type="dxa"/>
            </w:tcMar>
          </w:tcPr>
          <w:p>
            <w:pPr>
              <w:spacing w:after="0"/>
            </w:pPr>
            <w:r>
              <w:rPr>
                <w:sz w:val="18"/>
              </w:rPr>
              <w:t>runner_unavailable</w:t>
            </w:r>
          </w:p>
        </w:tc>
        <w:tc>
          <w:tcPr>
            <w:tcW w:type="dxa" w:w="3168"/>
            <w:vAlign w:val="center"/>
            <w:tcMar>
              <w:top w:w="110" w:type="dxa"/>
              <w:start w:w="120" w:type="dxa"/>
              <w:bottom w:w="110" w:type="dxa"/>
              <w:end w:w="120" w:type="dxa"/>
            </w:tcMar>
          </w:tcPr>
          <w:p>
            <w:pPr>
              <w:spacing w:after="0"/>
            </w:pPr>
            <w:r>
              <w:rPr>
                <w:sz w:val="18"/>
              </w:rPr>
              <w:t>The Newman runner is not available.</w:t>
            </w:r>
          </w:p>
        </w:tc>
        <w:tc>
          <w:tcPr>
            <w:tcW w:type="dxa" w:w="3024"/>
            <w:vAlign w:val="center"/>
            <w:tcMar>
              <w:top w:w="110" w:type="dxa"/>
              <w:start w:w="120" w:type="dxa"/>
              <w:bottom w:w="110" w:type="dxa"/>
              <w:end w:w="120" w:type="dxa"/>
            </w:tcMar>
          </w:tcPr>
          <w:p>
            <w:pPr>
              <w:spacing w:after="0"/>
            </w:pPr>
            <w:r>
              <w:rPr>
                <w:sz w:val="18"/>
              </w:rPr>
              <w:t>Ask the administrator to check the runner service, then retry.</w:t>
            </w:r>
          </w:p>
        </w:tc>
      </w:tr>
      <w:tr>
        <w:tc>
          <w:tcPr>
            <w:tcW w:type="dxa" w:w="2664"/>
            <w:vAlign w:val="center"/>
            <w:tcMar>
              <w:top w:w="110" w:type="dxa"/>
              <w:start w:w="120" w:type="dxa"/>
              <w:bottom w:w="110" w:type="dxa"/>
              <w:end w:w="120" w:type="dxa"/>
            </w:tcMar>
            <w:shd w:fill="F7F9FB"/>
          </w:tcPr>
          <w:p>
            <w:pPr>
              <w:spacing w:after="0"/>
            </w:pPr>
            <w:r>
              <w:rPr>
                <w:sz w:val="18"/>
              </w:rPr>
              <w:t>analysis_error</w:t>
            </w:r>
          </w:p>
        </w:tc>
        <w:tc>
          <w:tcPr>
            <w:tcW w:type="dxa" w:w="3168"/>
            <w:vAlign w:val="center"/>
            <w:tcMar>
              <w:top w:w="110" w:type="dxa"/>
              <w:start w:w="120" w:type="dxa"/>
              <w:bottom w:w="110" w:type="dxa"/>
              <w:end w:w="120" w:type="dxa"/>
            </w:tcMar>
            <w:shd w:fill="F7F9FB"/>
          </w:tcPr>
          <w:p>
            <w:pPr>
              <w:spacing w:after="0"/>
            </w:pPr>
            <w:r>
              <w:rPr>
                <w:sz w:val="18"/>
              </w:rPr>
              <w:t>Both runs finished but could not be analysed.</w:t>
            </w:r>
          </w:p>
        </w:tc>
        <w:tc>
          <w:tcPr>
            <w:tcW w:type="dxa" w:w="3024"/>
            <w:vAlign w:val="center"/>
            <w:tcMar>
              <w:top w:w="110" w:type="dxa"/>
              <w:start w:w="120" w:type="dxa"/>
              <w:bottom w:w="110" w:type="dxa"/>
              <w:end w:w="120" w:type="dxa"/>
            </w:tcMar>
            <w:shd w:fill="F7F9FB"/>
          </w:tcPr>
          <w:p>
            <w:pPr>
              <w:spacing w:after="0"/>
            </w:pPr>
            <w:r>
              <w:rPr>
                <w:sz w:val="18"/>
              </w:rPr>
              <w:t>Check that both runs succeed (mostly 2xx) and retry.</w:t>
            </w:r>
          </w:p>
        </w:tc>
      </w:tr>
    </w:tbl>
    <w:p>
      <w:pPr>
        <w:spacing w:after="0"/>
      </w:pPr>
    </w:p>
    <w:p>
      <w:pPr>
        <w:pStyle w:val="Heading1"/>
      </w:pPr>
      <w:r>
        <w:t>2 Prepare the Postman Collection</w:t>
      </w:r>
    </w:p>
    <w:p>
      <w:r>
        <w:t>The collection must complete the intended API journey before it is uploaded indirectly through Newman reports. Baseline11 translates an observed working flow into JMeter; it does not repair authentication failures or unresolved Postman placeholders.</w:t>
      </w:r>
    </w:p>
    <w:p>
      <w:pPr>
        <w:pStyle w:val="Heading2"/>
      </w:pPr>
      <w:r>
        <w:t>Collection readiness checklist</w:t>
      </w:r>
    </w:p>
    <w:p>
      <w:pPr>
        <w:pStyle w:val="ListBullet"/>
        <w:spacing w:after="40"/>
      </w:pPr>
      <w:r>
        <w:t>Requests are ordered in the same sequence the business flow requires.</w:t>
      </w:r>
    </w:p>
    <w:p>
      <w:pPr>
        <w:pStyle w:val="ListBullet"/>
        <w:spacing w:after="40"/>
      </w:pPr>
      <w:r>
        <w:t>Authentication resolves from the selected environment.</w:t>
      </w:r>
    </w:p>
    <w:p>
      <w:pPr>
        <w:pStyle w:val="ListBullet"/>
        <w:spacing w:after="40"/>
      </w:pPr>
      <w:r>
        <w:t>Producer requests return successful status codes and usable response bodies.</w:t>
      </w:r>
    </w:p>
    <w:p>
      <w:pPr>
        <w:pStyle w:val="ListBullet"/>
        <w:spacing w:after="40"/>
      </w:pPr>
      <w:r>
        <w:t>Postman scripts capture values required for the collection itself to continue.</w:t>
      </w:r>
    </w:p>
    <w:p>
      <w:pPr>
        <w:pStyle w:val="ListBullet"/>
        <w:spacing w:after="40"/>
      </w:pPr>
      <w:r>
        <w:t>Later requests use Postman variables such as {{order_id}} instead of literal {order_id} text.</w:t>
      </w:r>
    </w:p>
    <w:p>
      <w:pPr>
        <w:pStyle w:val="ListBullet"/>
        <w:spacing w:after="40"/>
      </w:pPr>
      <w:r>
        <w:t>Assertions fail when a required producer response or identifier is missing.</w:t>
      </w:r>
    </w:p>
    <w:p>
      <w:pPr>
        <w:pStyle w:val="Heading2"/>
      </w:pPr>
      <w:r>
        <w:t>Example dynamic flow</w:t>
      </w:r>
    </w:p>
    <w:p>
      <w:r>
        <w:t>Create Order returns:</w:t>
      </w:r>
    </w:p>
    <w:p>
      <w:pPr>
        <w:spacing w:before="60" w:after="140" w:line="252" w:lineRule="auto"/>
        <w:ind w:left="360" w:right="216"/>
        <w:shd w:fill="F2F4F7"/>
      </w:pPr>
      <w:r>
        <w:rPr>
          <w:rFonts w:ascii="Consolas" w:hAnsi="Consolas"/>
          <w:sz w:val="16"/>
        </w:rPr>
        <w:t>{</w:t>
      </w:r>
      <w:r>
        <w:br/>
      </w:r>
      <w:r>
        <w:rPr>
          <w:rFonts w:ascii="Consolas" w:hAnsi="Consolas"/>
          <w:sz w:val="16"/>
        </w:rPr>
        <w:t xml:space="preserve">  "id": "order_ABC123",</w:t>
      </w:r>
      <w:r>
        <w:br/>
      </w:r>
      <w:r>
        <w:rPr>
          <w:rFonts w:ascii="Consolas" w:hAnsi="Consolas"/>
          <w:sz w:val="16"/>
        </w:rPr>
        <w:t xml:space="preserve">  "amount": 10000,</w:t>
      </w:r>
      <w:r>
        <w:br/>
      </w:r>
      <w:r>
        <w:rPr>
          <w:rFonts w:ascii="Consolas" w:hAnsi="Consolas"/>
          <w:sz w:val="16"/>
        </w:rPr>
        <w:t xml:space="preserve">  "status": "created"</w:t>
      </w:r>
      <w:r>
        <w:br/>
      </w:r>
      <w:r>
        <w:rPr>
          <w:rFonts w:ascii="Consolas" w:hAnsi="Consolas"/>
          <w:sz w:val="16"/>
        </w:rPr>
        <w:t>}</w:t>
      </w:r>
    </w:p>
    <w:p>
      <w:r>
        <w:t>A Postman post-response script keeps the collection executable:</w:t>
      </w:r>
    </w:p>
    <w:p>
      <w:pPr>
        <w:spacing w:before="60" w:after="140" w:line="252" w:lineRule="auto"/>
        <w:ind w:left="360" w:right="216"/>
        <w:shd w:fill="F2F4F7"/>
      </w:pPr>
      <w:r>
        <w:rPr>
          <w:rFonts w:ascii="Consolas" w:hAnsi="Consolas"/>
          <w:sz w:val="16"/>
        </w:rPr>
        <w:t>const response = pm.response.json();</w:t>
      </w:r>
      <w:r>
        <w:br/>
      </w:r>
      <w:r>
        <w:rPr>
          <w:rFonts w:ascii="Consolas" w:hAnsi="Consolas"/>
          <w:sz w:val="16"/>
        </w:rPr>
        <w:t>pm.test("Order ID was returned", function () {</w:t>
      </w:r>
      <w:r>
        <w:br/>
      </w:r>
      <w:r>
        <w:rPr>
          <w:rFonts w:ascii="Consolas" w:hAnsi="Consolas"/>
          <w:sz w:val="16"/>
        </w:rPr>
        <w:t xml:space="preserve">    pm.expect(response.id).to.be.a("string").and.not.empty;</w:t>
      </w:r>
      <w:r>
        <w:br/>
      </w:r>
      <w:r>
        <w:rPr>
          <w:rFonts w:ascii="Consolas" w:hAnsi="Consolas"/>
          <w:sz w:val="16"/>
        </w:rPr>
        <w:t>});</w:t>
      </w:r>
      <w:r>
        <w:br/>
      </w:r>
      <w:r>
        <w:rPr>
          <w:rFonts w:ascii="Consolas" w:hAnsi="Consolas"/>
          <w:sz w:val="16"/>
        </w:rPr>
        <w:t>pm.collectionVariables.set("order_id", response.id);</w:t>
      </w:r>
    </w:p>
    <w:p>
      <w:r>
        <w:t>A downstream Postman request uses:</w:t>
      </w:r>
    </w:p>
    <w:p>
      <w:pPr>
        <w:spacing w:before="60" w:after="140" w:line="252" w:lineRule="auto"/>
        <w:ind w:left="360" w:right="216"/>
        <w:shd w:fill="F2F4F7"/>
      </w:pPr>
      <w:r>
        <w:rPr>
          <w:rFonts w:ascii="Consolas" w:hAnsi="Consolas"/>
          <w:sz w:val="16"/>
        </w:rPr>
        <w:t>GET https://api.example.com/v1/orders/{{order_id}}</w:t>
      </w:r>
    </w:p>
    <w:p>
      <w:pPr>
        <w:pStyle w:val="Heading2"/>
      </w:pPr>
      <w:r>
        <w:t>Environment guidance</w:t>
      </w:r>
    </w:p>
    <w:p>
      <w:r>
        <w:t>Keep real keys and secrets in a local environment file. Share only a template with empty values. Confirm that exported environment values are populated before running Newman; some Postman workflows export variable definitions without the local values.</w:t>
      </w:r>
    </w:p>
    <w:p>
      <w:pPr>
        <w:pStyle w:val="Heading1"/>
      </w:pPr>
      <w:r>
        <w:t>3 Generate Newman Reports (Advanced Mode)</w:t>
      </w:r>
    </w:p>
    <w:p>
      <w:pPr>
        <w:pStyle w:val="Heading2"/>
      </w:pPr>
      <w:r>
        <w:t>Install the command line tools</w:t>
      </w:r>
    </w:p>
    <w:p>
      <w:pPr>
        <w:spacing w:before="60" w:after="140" w:line="252" w:lineRule="auto"/>
        <w:ind w:left="360" w:right="216"/>
        <w:shd w:fill="F2F4F7"/>
      </w:pPr>
      <w:r>
        <w:rPr>
          <w:rFonts w:ascii="Consolas" w:hAnsi="Consolas"/>
          <w:sz w:val="16"/>
        </w:rPr>
        <w:t>npm install -g newman newman-reporter-htmlextra</w:t>
      </w:r>
      <w:r>
        <w:br/>
      </w:r>
      <w:r>
        <w:rPr>
          <w:rFonts w:ascii="Consolas" w:hAnsi="Consolas"/>
          <w:sz w:val="16"/>
        </w:rPr>
        <w:t>newman --version</w:t>
      </w:r>
    </w:p>
    <w:p>
      <w:pPr>
        <w:pStyle w:val="Heading2"/>
      </w:pPr>
      <w:r>
        <w:t>Generic baseline command</w:t>
      </w:r>
    </w:p>
    <w:p>
      <w:pPr>
        <w:spacing w:before="60" w:after="140" w:line="252" w:lineRule="auto"/>
        <w:ind w:left="360" w:right="216"/>
        <w:shd w:fill="F2F4F7"/>
      </w:pPr>
      <w:r>
        <w:rPr>
          <w:rFonts w:ascii="Consolas" w:hAnsi="Consolas"/>
          <w:sz w:val="16"/>
        </w:rPr>
        <w:t>newman run "C:\QA\collection.postman_collection.json" ^</w:t>
      </w:r>
      <w:r>
        <w:br/>
      </w:r>
      <w:r>
        <w:rPr>
          <w:rFonts w:ascii="Consolas" w:hAnsi="Consolas"/>
          <w:sz w:val="16"/>
        </w:rPr>
        <w:t xml:space="preserve">  -e "C:\QA\test.postman_environment.json" ^</w:t>
      </w:r>
      <w:r>
        <w:br/>
      </w:r>
      <w:r>
        <w:rPr>
          <w:rFonts w:ascii="Consolas" w:hAnsi="Consolas"/>
          <w:sz w:val="16"/>
        </w:rPr>
        <w:t xml:space="preserve">  --folder "Business Flow" ^</w:t>
      </w:r>
      <w:r>
        <w:br/>
      </w:r>
      <w:r>
        <w:rPr>
          <w:rFonts w:ascii="Consolas" w:hAnsi="Consolas"/>
          <w:sz w:val="16"/>
        </w:rPr>
        <w:t xml:space="preserve">  -r cli,json,htmlextra ^</w:t>
      </w:r>
      <w:r>
        <w:br/>
      </w:r>
      <w:r>
        <w:rPr>
          <w:rFonts w:ascii="Consolas" w:hAnsi="Consolas"/>
          <w:sz w:val="16"/>
        </w:rPr>
        <w:t xml:space="preserve">  --reporter-json-export "C:\QA\reports\baseline.json" ^</w:t>
      </w:r>
      <w:r>
        <w:br/>
      </w:r>
      <w:r>
        <w:rPr>
          <w:rFonts w:ascii="Consolas" w:hAnsi="Consolas"/>
          <w:sz w:val="16"/>
        </w:rPr>
        <w:t xml:space="preserve">  --reporter-htmlextra-export "C:\QA\reports\baseline.html"</w:t>
      </w:r>
    </w:p>
    <w:p>
      <w:r>
        <w:t>Run the same command again with comparison output names:</w:t>
      </w:r>
    </w:p>
    <w:p>
      <w:pPr>
        <w:spacing w:before="60" w:after="140" w:line="252" w:lineRule="auto"/>
        <w:ind w:left="360" w:right="216"/>
        <w:shd w:fill="F2F4F7"/>
      </w:pPr>
      <w:r>
        <w:rPr>
          <w:rFonts w:ascii="Consolas" w:hAnsi="Consolas"/>
          <w:sz w:val="16"/>
        </w:rPr>
        <w:t>newman run "C:\QA\collection.postman_collection.json" ^</w:t>
      </w:r>
      <w:r>
        <w:br/>
      </w:r>
      <w:r>
        <w:rPr>
          <w:rFonts w:ascii="Consolas" w:hAnsi="Consolas"/>
          <w:sz w:val="16"/>
        </w:rPr>
        <w:t xml:space="preserve">  -e "C:\QA\test.postman_environment.json" ^</w:t>
      </w:r>
      <w:r>
        <w:br/>
      </w:r>
      <w:r>
        <w:rPr>
          <w:rFonts w:ascii="Consolas" w:hAnsi="Consolas"/>
          <w:sz w:val="16"/>
        </w:rPr>
        <w:t xml:space="preserve">  --folder "Business Flow" ^</w:t>
      </w:r>
      <w:r>
        <w:br/>
      </w:r>
      <w:r>
        <w:rPr>
          <w:rFonts w:ascii="Consolas" w:hAnsi="Consolas"/>
          <w:sz w:val="16"/>
        </w:rPr>
        <w:t xml:space="preserve">  -r cli,json,htmlextra ^</w:t>
      </w:r>
      <w:r>
        <w:br/>
      </w:r>
      <w:r>
        <w:rPr>
          <w:rFonts w:ascii="Consolas" w:hAnsi="Consolas"/>
          <w:sz w:val="16"/>
        </w:rPr>
        <w:t xml:space="preserve">  --reporter-json-export "C:\QA\reports\comparison.json" ^</w:t>
      </w:r>
      <w:r>
        <w:br/>
      </w:r>
      <w:r>
        <w:rPr>
          <w:rFonts w:ascii="Consolas" w:hAnsi="Consolas"/>
          <w:sz w:val="16"/>
        </w:rPr>
        <w:t xml:space="preserve">  --reporter-htmlextra-export "C:\QA\reports\comparison.html"</w:t>
      </w:r>
    </w:p>
    <w:p>
      <w:pPr>
        <w:pStyle w:val="Heading2"/>
      </w:pPr>
      <w:r>
        <w:t>Command reference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951"/>
            <w:shd w:fill="17365D"/>
            <w:vAlign w:val="center"/>
            <w:tcMar>
              <w:top w:w="110" w:type="dxa"/>
              <w:start w:w="120" w:type="dxa"/>
              <w:bottom w:w="110" w:type="dxa"/>
              <w:end w:w="120" w:type="dxa"/>
            </w:tcMar>
          </w:tcPr>
          <w:p>
            <w:pPr>
              <w:jc w:val="center"/>
            </w:pPr>
            <w:r>
              <w:rPr>
                <w:b/>
                <w:color w:val="FFFFFF"/>
                <w:sz w:val="18"/>
              </w:rPr>
              <w:t>Argument</w:t>
            </w:r>
          </w:p>
        </w:tc>
        <w:tc>
          <w:tcPr>
            <w:tcW w:type="dxa" w:w="5903"/>
            <w:shd w:fill="17365D"/>
            <w:vAlign w:val="center"/>
            <w:tcMar>
              <w:top w:w="110" w:type="dxa"/>
              <w:start w:w="120" w:type="dxa"/>
              <w:bottom w:w="110" w:type="dxa"/>
              <w:end w:w="120" w:type="dxa"/>
            </w:tcMar>
          </w:tcPr>
          <w:p>
            <w:pPr>
              <w:jc w:val="center"/>
            </w:pPr>
            <w:r>
              <w:rPr>
                <w:b/>
                <w:color w:val="FFFFFF"/>
                <w:sz w:val="18"/>
              </w:rPr>
              <w:t>Purpose</w:t>
            </w:r>
          </w:p>
        </w:tc>
      </w:tr>
      <w:tr>
        <w:tc>
          <w:tcPr>
            <w:tcW w:type="dxa" w:w="2951"/>
            <w:vAlign w:val="center"/>
            <w:tcMar>
              <w:top w:w="110" w:type="dxa"/>
              <w:start w:w="120" w:type="dxa"/>
              <w:bottom w:w="110" w:type="dxa"/>
              <w:end w:w="120" w:type="dxa"/>
            </w:tcMar>
          </w:tcPr>
          <w:p>
            <w:pPr>
              <w:spacing w:after="0"/>
            </w:pPr>
            <w:r>
              <w:rPr>
                <w:sz w:val="18"/>
              </w:rPr>
              <w:t>newman run</w:t>
            </w:r>
          </w:p>
        </w:tc>
        <w:tc>
          <w:tcPr>
            <w:tcW w:type="dxa" w:w="5903"/>
            <w:vAlign w:val="center"/>
            <w:tcMar>
              <w:top w:w="110" w:type="dxa"/>
              <w:start w:w="120" w:type="dxa"/>
              <w:bottom w:w="110" w:type="dxa"/>
              <w:end w:w="120" w:type="dxa"/>
            </w:tcMar>
          </w:tcPr>
          <w:p>
            <w:pPr>
              <w:spacing w:after="0"/>
            </w:pPr>
            <w:r>
              <w:rPr>
                <w:sz w:val="18"/>
              </w:rPr>
              <w:t>Executes a Postman collection.</w:t>
            </w:r>
          </w:p>
        </w:tc>
      </w:tr>
      <w:tr>
        <w:tc>
          <w:tcPr>
            <w:tcW w:type="dxa" w:w="2951"/>
            <w:vAlign w:val="center"/>
            <w:tcMar>
              <w:top w:w="110" w:type="dxa"/>
              <w:start w:w="120" w:type="dxa"/>
              <w:bottom w:w="110" w:type="dxa"/>
              <w:end w:w="120" w:type="dxa"/>
            </w:tcMar>
            <w:shd w:fill="F7F9FB"/>
          </w:tcPr>
          <w:p>
            <w:pPr>
              <w:spacing w:after="0"/>
            </w:pPr>
            <w:r>
              <w:rPr>
                <w:sz w:val="18"/>
              </w:rPr>
              <w:t>-e</w:t>
            </w:r>
          </w:p>
        </w:tc>
        <w:tc>
          <w:tcPr>
            <w:tcW w:type="dxa" w:w="5903"/>
            <w:vAlign w:val="center"/>
            <w:tcMar>
              <w:top w:w="110" w:type="dxa"/>
              <w:start w:w="120" w:type="dxa"/>
              <w:bottom w:w="110" w:type="dxa"/>
              <w:end w:w="120" w:type="dxa"/>
            </w:tcMar>
            <w:shd w:fill="F7F9FB"/>
          </w:tcPr>
          <w:p>
            <w:pPr>
              <w:spacing w:after="0"/>
            </w:pPr>
            <w:r>
              <w:rPr>
                <w:sz w:val="18"/>
              </w:rPr>
              <w:t>Loads a Postman environment.</w:t>
            </w:r>
          </w:p>
        </w:tc>
      </w:tr>
      <w:tr>
        <w:tc>
          <w:tcPr>
            <w:tcW w:type="dxa" w:w="2951"/>
            <w:vAlign w:val="center"/>
            <w:tcMar>
              <w:top w:w="110" w:type="dxa"/>
              <w:start w:w="120" w:type="dxa"/>
              <w:bottom w:w="110" w:type="dxa"/>
              <w:end w:w="120" w:type="dxa"/>
            </w:tcMar>
          </w:tcPr>
          <w:p>
            <w:pPr>
              <w:spacing w:after="0"/>
            </w:pPr>
            <w:r>
              <w:rPr>
                <w:sz w:val="18"/>
              </w:rPr>
              <w:t>--folder</w:t>
            </w:r>
          </w:p>
        </w:tc>
        <w:tc>
          <w:tcPr>
            <w:tcW w:type="dxa" w:w="5903"/>
            <w:vAlign w:val="center"/>
            <w:tcMar>
              <w:top w:w="110" w:type="dxa"/>
              <w:start w:w="120" w:type="dxa"/>
              <w:bottom w:w="110" w:type="dxa"/>
              <w:end w:w="120" w:type="dxa"/>
            </w:tcMar>
          </w:tcPr>
          <w:p>
            <w:pPr>
              <w:spacing w:after="0"/>
            </w:pPr>
            <w:r>
              <w:rPr>
                <w:sz w:val="18"/>
              </w:rPr>
              <w:t>Limits execution to one folder or scenario.</w:t>
            </w:r>
          </w:p>
        </w:tc>
      </w:tr>
      <w:tr>
        <w:tc>
          <w:tcPr>
            <w:tcW w:type="dxa" w:w="2951"/>
            <w:vAlign w:val="center"/>
            <w:tcMar>
              <w:top w:w="110" w:type="dxa"/>
              <w:start w:w="120" w:type="dxa"/>
              <w:bottom w:w="110" w:type="dxa"/>
              <w:end w:w="120" w:type="dxa"/>
            </w:tcMar>
            <w:shd w:fill="F7F9FB"/>
          </w:tcPr>
          <w:p>
            <w:pPr>
              <w:spacing w:after="0"/>
            </w:pPr>
            <w:r>
              <w:rPr>
                <w:sz w:val="18"/>
              </w:rPr>
              <w:t>-r cli,json,htmlextra</w:t>
            </w:r>
          </w:p>
        </w:tc>
        <w:tc>
          <w:tcPr>
            <w:tcW w:type="dxa" w:w="5903"/>
            <w:vAlign w:val="center"/>
            <w:tcMar>
              <w:top w:w="110" w:type="dxa"/>
              <w:start w:w="120" w:type="dxa"/>
              <w:bottom w:w="110" w:type="dxa"/>
              <w:end w:w="120" w:type="dxa"/>
            </w:tcMar>
            <w:shd w:fill="F7F9FB"/>
          </w:tcPr>
          <w:p>
            <w:pPr>
              <w:spacing w:after="0"/>
            </w:pPr>
            <w:r>
              <w:rPr>
                <w:sz w:val="18"/>
              </w:rPr>
              <w:t>Prints terminal output and creates JSON and HTML reports.</w:t>
            </w:r>
          </w:p>
        </w:tc>
      </w:tr>
      <w:tr>
        <w:tc>
          <w:tcPr>
            <w:tcW w:type="dxa" w:w="2951"/>
            <w:vAlign w:val="center"/>
            <w:tcMar>
              <w:top w:w="110" w:type="dxa"/>
              <w:start w:w="120" w:type="dxa"/>
              <w:bottom w:w="110" w:type="dxa"/>
              <w:end w:w="120" w:type="dxa"/>
            </w:tcMar>
          </w:tcPr>
          <w:p>
            <w:pPr>
              <w:spacing w:after="0"/>
            </w:pPr>
            <w:r>
              <w:rPr>
                <w:sz w:val="18"/>
              </w:rPr>
              <w:t>--reporter-json-export</w:t>
            </w:r>
          </w:p>
        </w:tc>
        <w:tc>
          <w:tcPr>
            <w:tcW w:type="dxa" w:w="5903"/>
            <w:vAlign w:val="center"/>
            <w:tcMar>
              <w:top w:w="110" w:type="dxa"/>
              <w:start w:w="120" w:type="dxa"/>
              <w:bottom w:w="110" w:type="dxa"/>
              <w:end w:w="120" w:type="dxa"/>
            </w:tcMar>
          </w:tcPr>
          <w:p>
            <w:pPr>
              <w:spacing w:after="0"/>
            </w:pPr>
            <w:r>
              <w:rPr>
                <w:sz w:val="18"/>
              </w:rPr>
              <w:t>Writes the machine-readable report consumed by Baseline11.</w:t>
            </w:r>
          </w:p>
        </w:tc>
      </w:tr>
      <w:tr>
        <w:tc>
          <w:tcPr>
            <w:tcW w:type="dxa" w:w="2951"/>
            <w:vAlign w:val="center"/>
            <w:tcMar>
              <w:top w:w="110" w:type="dxa"/>
              <w:start w:w="120" w:type="dxa"/>
              <w:bottom w:w="110" w:type="dxa"/>
              <w:end w:w="120" w:type="dxa"/>
            </w:tcMar>
            <w:shd w:fill="F7F9FB"/>
          </w:tcPr>
          <w:p>
            <w:pPr>
              <w:spacing w:after="0"/>
            </w:pPr>
            <w:r>
              <w:rPr>
                <w:sz w:val="18"/>
              </w:rPr>
              <w:t>--reporter-htmlextra-export</w:t>
            </w:r>
          </w:p>
        </w:tc>
        <w:tc>
          <w:tcPr>
            <w:tcW w:type="dxa" w:w="5903"/>
            <w:vAlign w:val="center"/>
            <w:tcMar>
              <w:top w:w="110" w:type="dxa"/>
              <w:start w:w="120" w:type="dxa"/>
              <w:bottom w:w="110" w:type="dxa"/>
              <w:end w:w="120" w:type="dxa"/>
            </w:tcMar>
            <w:shd w:fill="F7F9FB"/>
          </w:tcPr>
          <w:p>
            <w:pPr>
              <w:spacing w:after="0"/>
            </w:pPr>
            <w:r>
              <w:rPr>
                <w:sz w:val="18"/>
              </w:rPr>
              <w:t>Writes a human-readable execution report for review.</w:t>
            </w:r>
          </w:p>
        </w:tc>
      </w:tr>
    </w:tbl>
    <w:p>
      <w:pPr>
        <w:spacing w:after="0"/>
      </w:pPr>
    </w:p>
    <w:p>
      <w:pPr>
        <w:pStyle w:val="Heading2"/>
      </w:pPr>
      <w:r>
        <w:t>Report acceptance criteria</w:t>
      </w:r>
    </w:p>
    <w:p>
      <w:pPr>
        <w:pStyle w:val="ListBullet"/>
        <w:spacing w:after="40"/>
      </w:pPr>
      <w:r>
        <w:t>Both runs use the same collection, folder and request order.</w:t>
      </w:r>
    </w:p>
    <w:p>
      <w:pPr>
        <w:pStyle w:val="ListBullet"/>
        <w:spacing w:after="40"/>
      </w:pPr>
      <w:r>
        <w:t>The producer and intended consumers return successful responses.</w:t>
      </w:r>
    </w:p>
    <w:p>
      <w:pPr>
        <w:pStyle w:val="ListBullet"/>
        <w:spacing w:after="40"/>
      </w:pPr>
      <w:r>
        <w:t>There are no authentication, network or missing-response failures.</w:t>
      </w:r>
    </w:p>
    <w:p>
      <w:pPr>
        <w:pStyle w:val="ListBullet"/>
        <w:spacing w:after="40"/>
      </w:pPr>
      <w:r>
        <w:t>Required assertions pass.</w:t>
      </w:r>
    </w:p>
    <w:p>
      <w:pPr>
        <w:pStyle w:val="ListBullet"/>
        <w:spacing w:after="40"/>
      </w:pPr>
      <w:r>
        <w:t>Dynamic values differ between the two runs.</w:t>
      </w:r>
    </w:p>
    <w:p>
      <w:pPr>
        <w:pStyle w:val="Heading1"/>
      </w:pPr>
      <w:r>
        <w:t>4 Upload and Review the Analysis</w:t>
      </w:r>
    </w:p>
    <w:p>
      <w:r>
        <w:t>In the recommended mode Baseline11 opens this analysis automatically when both runs finish. In advanced mode, choose Upload existing Newman reports and upload baseline.json first and comparison.json second. Do not upload the Postman collection, environment, HTML report or a JMX into the report uploader.</w:t>
      </w:r>
    </w:p>
    <w:p>
      <w:pPr>
        <w:pStyle w:val="Heading2"/>
      </w:pPr>
      <w:r>
        <w:t>Run Health</w:t>
      </w:r>
    </w:p>
    <w:p>
      <w:r>
        <w:t>Run Health verifies transport success, assertion results, business response heuristics and sequence alignment. A warning is reviewable; a blocker means the reports are not safe for automatic correlation.</w:t>
      </w:r>
    </w:p>
    <w:p>
      <w:pPr>
        <w:jc w:val="center"/>
      </w:pPr>
      <w:r>
        <w:drawing>
          <wp:inline xmlns:a="http://schemas.openxmlformats.org/drawingml/2006/main" xmlns:pic="http://schemas.openxmlformats.org/drawingml/2006/picture">
            <wp:extent cx="5897880" cy="3820612"/>
            <wp:docPr id="7" name="Picture 7" descr="Baseline11 Run Health showing seven aligned successful requests and one reviewable empty dataset warning"/>
            <wp:cNvGraphicFramePr>
              <a:graphicFrameLocks noChangeAspect="1"/>
            </wp:cNvGraphicFramePr>
            <a:graphic>
              <a:graphicData uri="http://schemas.openxmlformats.org/drawingml/2006/picture">
                <pic:pic>
                  <pic:nvPicPr>
                    <pic:cNvPr id="0" name="run-health.png"/>
                    <pic:cNvPicPr/>
                  </pic:nvPicPr>
                  <pic:blipFill>
                    <a:blip r:embed="rId16"/>
                    <a:stretch>
                      <a:fillRect/>
                    </a:stretch>
                  </pic:blipFill>
                  <pic:spPr>
                    <a:xfrm>
                      <a:off x="0" y="0"/>
                      <a:ext cx="5897880" cy="3820612"/>
                    </a:xfrm>
                    <a:prstGeom prst="rect"/>
                  </pic:spPr>
                </pic:pic>
              </a:graphicData>
            </a:graphic>
          </wp:inline>
        </w:drawing>
      </w:r>
    </w:p>
    <w:p>
      <w:pPr>
        <w:spacing w:before="60" w:after="180"/>
        <w:jc w:val="center"/>
      </w:pPr>
      <w:r>
        <w:rPr>
          <w:i/>
          <w:color w:val="555555"/>
          <w:sz w:val="17"/>
        </w:rPr>
        <w:t>Figure 7  Example Run Health with seven aligned HTTP 200 requests</w:t>
      </w:r>
    </w:p>
    <w:p>
      <w:pPr>
        <w:pStyle w:val="Heading2"/>
      </w:pPr>
      <w:r>
        <w:t>How to interpret common health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800"/>
            <w:shd w:fill="17365D"/>
            <w:vAlign w:val="center"/>
            <w:tcMar>
              <w:top w:w="110" w:type="dxa"/>
              <w:start w:w="120" w:type="dxa"/>
              <w:bottom w:w="110" w:type="dxa"/>
              <w:end w:w="120" w:type="dxa"/>
            </w:tcMar>
          </w:tcPr>
          <w:p>
            <w:pPr>
              <w:jc w:val="center"/>
            </w:pPr>
            <w:r>
              <w:rPr>
                <w:b/>
                <w:color w:val="FFFFFF"/>
                <w:sz w:val="18"/>
              </w:rPr>
              <w:t>Result</w:t>
            </w:r>
          </w:p>
        </w:tc>
        <w:tc>
          <w:tcPr>
            <w:tcW w:type="dxa" w:w="3528"/>
            <w:shd w:fill="17365D"/>
            <w:vAlign w:val="center"/>
            <w:tcMar>
              <w:top w:w="110" w:type="dxa"/>
              <w:start w:w="120" w:type="dxa"/>
              <w:bottom w:w="110" w:type="dxa"/>
              <w:end w:w="120" w:type="dxa"/>
            </w:tcMar>
          </w:tcPr>
          <w:p>
            <w:pPr>
              <w:jc w:val="center"/>
            </w:pPr>
            <w:r>
              <w:rPr>
                <w:b/>
                <w:color w:val="FFFFFF"/>
                <w:sz w:val="18"/>
              </w:rPr>
              <w:t>Meaning</w:t>
            </w:r>
          </w:p>
        </w:tc>
        <w:tc>
          <w:tcPr>
            <w:tcW w:type="dxa" w:w="3528"/>
            <w:shd w:fill="17365D"/>
            <w:vAlign w:val="center"/>
            <w:tcMar>
              <w:top w:w="110" w:type="dxa"/>
              <w:start w:w="120" w:type="dxa"/>
              <w:bottom w:w="110" w:type="dxa"/>
              <w:end w:w="120" w:type="dxa"/>
            </w:tcMar>
          </w:tcPr>
          <w:p>
            <w:pPr>
              <w:jc w:val="center"/>
            </w:pPr>
            <w:r>
              <w:rPr>
                <w:b/>
                <w:color w:val="FFFFFF"/>
                <w:sz w:val="18"/>
              </w:rPr>
              <w:t>Tester action</w:t>
            </w:r>
          </w:p>
        </w:tc>
      </w:tr>
      <w:tr>
        <w:tc>
          <w:tcPr>
            <w:tcW w:type="dxa" w:w="1800"/>
            <w:vAlign w:val="center"/>
            <w:tcMar>
              <w:top w:w="110" w:type="dxa"/>
              <w:start w:w="120" w:type="dxa"/>
              <w:bottom w:w="110" w:type="dxa"/>
              <w:end w:w="120" w:type="dxa"/>
            </w:tcMar>
          </w:tcPr>
          <w:p>
            <w:pPr>
              <w:spacing w:after="0"/>
            </w:pPr>
            <w:r>
              <w:rPr>
                <w:sz w:val="18"/>
              </w:rPr>
              <w:t>Ready</w:t>
            </w:r>
          </w:p>
        </w:tc>
        <w:tc>
          <w:tcPr>
            <w:tcW w:type="dxa" w:w="3528"/>
            <w:vAlign w:val="center"/>
            <w:tcMar>
              <w:top w:w="110" w:type="dxa"/>
              <w:start w:w="120" w:type="dxa"/>
              <w:bottom w:w="110" w:type="dxa"/>
              <w:end w:w="120" w:type="dxa"/>
            </w:tcMar>
          </w:tcPr>
          <w:p>
            <w:pPr>
              <w:spacing w:after="0"/>
            </w:pPr>
            <w:r>
              <w:rPr>
                <w:sz w:val="18"/>
              </w:rPr>
              <w:t>Both reports are suitable for analysis.</w:t>
            </w:r>
          </w:p>
        </w:tc>
        <w:tc>
          <w:tcPr>
            <w:tcW w:type="dxa" w:w="3528"/>
            <w:vAlign w:val="center"/>
            <w:tcMar>
              <w:top w:w="110" w:type="dxa"/>
              <w:start w:w="120" w:type="dxa"/>
              <w:bottom w:w="110" w:type="dxa"/>
              <w:end w:w="120" w:type="dxa"/>
            </w:tcMar>
          </w:tcPr>
          <w:p>
            <w:pPr>
              <w:spacing w:after="0"/>
            </w:pPr>
            <w:r>
              <w:rPr>
                <w:sz w:val="18"/>
              </w:rPr>
              <w:t>Continue to Candidates.</w:t>
            </w:r>
          </w:p>
        </w:tc>
      </w:tr>
      <w:tr>
        <w:tc>
          <w:tcPr>
            <w:tcW w:type="dxa" w:w="1800"/>
            <w:vAlign w:val="center"/>
            <w:tcMar>
              <w:top w:w="110" w:type="dxa"/>
              <w:start w:w="120" w:type="dxa"/>
              <w:bottom w:w="110" w:type="dxa"/>
              <w:end w:w="120" w:type="dxa"/>
            </w:tcMar>
            <w:shd w:fill="F7F9FB"/>
          </w:tcPr>
          <w:p>
            <w:pPr>
              <w:spacing w:after="0"/>
            </w:pPr>
            <w:r>
              <w:rPr>
                <w:sz w:val="18"/>
              </w:rPr>
              <w:t>Ready with review</w:t>
            </w:r>
          </w:p>
        </w:tc>
        <w:tc>
          <w:tcPr>
            <w:tcW w:type="dxa" w:w="3528"/>
            <w:vAlign w:val="center"/>
            <w:tcMar>
              <w:top w:w="110" w:type="dxa"/>
              <w:start w:w="120" w:type="dxa"/>
              <w:bottom w:w="110" w:type="dxa"/>
              <w:end w:w="120" w:type="dxa"/>
            </w:tcMar>
            <w:shd w:fill="F7F9FB"/>
          </w:tcPr>
          <w:p>
            <w:pPr>
              <w:spacing w:after="0"/>
            </w:pPr>
            <w:r>
              <w:rPr>
                <w:sz w:val="18"/>
              </w:rPr>
              <w:t>Transport is usable but a business heuristic needs review.</w:t>
            </w:r>
          </w:p>
        </w:tc>
        <w:tc>
          <w:tcPr>
            <w:tcW w:type="dxa" w:w="3528"/>
            <w:vAlign w:val="center"/>
            <w:tcMar>
              <w:top w:w="110" w:type="dxa"/>
              <w:start w:w="120" w:type="dxa"/>
              <w:bottom w:w="110" w:type="dxa"/>
              <w:end w:w="120" w:type="dxa"/>
            </w:tcMar>
            <w:shd w:fill="F7F9FB"/>
          </w:tcPr>
          <w:p>
            <w:pPr>
              <w:spacing w:after="0"/>
            </w:pPr>
            <w:r>
              <w:rPr>
                <w:sz w:val="18"/>
              </w:rPr>
              <w:t>Read the warning and continue only when the response is valid for the scenario.</w:t>
            </w:r>
          </w:p>
        </w:tc>
      </w:tr>
      <w:tr>
        <w:tc>
          <w:tcPr>
            <w:tcW w:type="dxa" w:w="1800"/>
            <w:vAlign w:val="center"/>
            <w:tcMar>
              <w:top w:w="110" w:type="dxa"/>
              <w:start w:w="120" w:type="dxa"/>
              <w:bottom w:w="110" w:type="dxa"/>
              <w:end w:w="120" w:type="dxa"/>
            </w:tcMar>
          </w:tcPr>
          <w:p>
            <w:pPr>
              <w:spacing w:after="0"/>
            </w:pPr>
            <w:r>
              <w:rPr>
                <w:sz w:val="18"/>
              </w:rPr>
              <w:t>Blocker</w:t>
            </w:r>
          </w:p>
        </w:tc>
        <w:tc>
          <w:tcPr>
            <w:tcW w:type="dxa" w:w="3528"/>
            <w:vAlign w:val="center"/>
            <w:tcMar>
              <w:top w:w="110" w:type="dxa"/>
              <w:start w:w="120" w:type="dxa"/>
              <w:bottom w:w="110" w:type="dxa"/>
              <w:end w:w="120" w:type="dxa"/>
            </w:tcMar>
          </w:tcPr>
          <w:p>
            <w:pPr>
              <w:spacing w:after="0"/>
            </w:pPr>
            <w:r>
              <w:rPr>
                <w:sz w:val="18"/>
              </w:rPr>
              <w:t>Authentication, response availability or alignment is too poor.</w:t>
            </w:r>
          </w:p>
        </w:tc>
        <w:tc>
          <w:tcPr>
            <w:tcW w:type="dxa" w:w="3528"/>
            <w:vAlign w:val="center"/>
            <w:tcMar>
              <w:top w:w="110" w:type="dxa"/>
              <w:start w:w="120" w:type="dxa"/>
              <w:bottom w:w="110" w:type="dxa"/>
              <w:end w:w="120" w:type="dxa"/>
            </w:tcMar>
          </w:tcPr>
          <w:p>
            <w:pPr>
              <w:spacing w:after="0"/>
            </w:pPr>
            <w:r>
              <w:rPr>
                <w:sz w:val="18"/>
              </w:rPr>
              <w:t>Fix the collection or credentials and create two new reports.</w:t>
            </w:r>
          </w:p>
        </w:tc>
      </w:tr>
      <w:tr>
        <w:tc>
          <w:tcPr>
            <w:tcW w:type="dxa" w:w="1800"/>
            <w:vAlign w:val="center"/>
            <w:tcMar>
              <w:top w:w="110" w:type="dxa"/>
              <w:start w:w="120" w:type="dxa"/>
              <w:bottom w:w="110" w:type="dxa"/>
              <w:end w:w="120" w:type="dxa"/>
            </w:tcMar>
            <w:shd w:fill="F7F9FB"/>
          </w:tcPr>
          <w:p>
            <w:pPr>
              <w:spacing w:after="0"/>
            </w:pPr>
            <w:r>
              <w:rPr>
                <w:sz w:val="18"/>
              </w:rPr>
              <w:t>Empty dataset</w:t>
            </w:r>
          </w:p>
        </w:tc>
        <w:tc>
          <w:tcPr>
            <w:tcW w:type="dxa" w:w="3528"/>
            <w:vAlign w:val="center"/>
            <w:tcMar>
              <w:top w:w="110" w:type="dxa"/>
              <w:start w:w="120" w:type="dxa"/>
              <w:bottom w:w="110" w:type="dxa"/>
              <w:end w:w="120" w:type="dxa"/>
            </w:tcMar>
            <w:shd w:fill="F7F9FB"/>
          </w:tcPr>
          <w:p>
            <w:pPr>
              <w:spacing w:after="0"/>
            </w:pPr>
            <w:r>
              <w:rPr>
                <w:sz w:val="18"/>
              </w:rPr>
              <w:t>A successful response returned no records.</w:t>
            </w:r>
          </w:p>
        </w:tc>
        <w:tc>
          <w:tcPr>
            <w:tcW w:type="dxa" w:w="3528"/>
            <w:vAlign w:val="center"/>
            <w:tcMar>
              <w:top w:w="110" w:type="dxa"/>
              <w:start w:w="120" w:type="dxa"/>
              <w:bottom w:w="110" w:type="dxa"/>
              <w:end w:w="120" w:type="dxa"/>
            </w:tcMar>
            <w:shd w:fill="F7F9FB"/>
          </w:tcPr>
          <w:p>
            <w:pPr>
              <w:spacing w:after="0"/>
            </w:pPr>
            <w:r>
              <w:rPr>
                <w:sz w:val="18"/>
              </w:rPr>
              <w:t>Confirm whether an empty result is expected, such as payments for a new unpaid order.</w:t>
            </w:r>
          </w:p>
        </w:tc>
      </w:tr>
    </w:tbl>
    <w:p>
      <w:pPr>
        <w:spacing w:after="0"/>
      </w:pPr>
    </w:p>
    <w:p>
      <w:pPr>
        <w:pStyle w:val="Heading1"/>
      </w:pPr>
      <w:r>
        <w:t>5 Review and Accept Correlation</w:t>
      </w:r>
    </w:p>
    <w:p>
      <w:r>
        <w:t>Candidates are response values that changed between runs and were reused by later requests in both runs. Inspect the producer path, consumer count, confidence and evidence before acceptance.</w:t>
      </w:r>
    </w:p>
    <w:p>
      <w:pPr>
        <w:jc w:val="center"/>
      </w:pPr>
      <w:r>
        <w:drawing>
          <wp:inline xmlns:a="http://schemas.openxmlformats.org/drawingml/2006/main" xmlns:pic="http://schemas.openxmlformats.org/drawingml/2006/picture">
            <wp:extent cx="5897880" cy="2693076"/>
            <wp:docPr id="8" name="Picture 8" descr="Baseline11 Candidates page showing one high confidence ID value produced at JSONPath id and reused by three requests"/>
            <wp:cNvGraphicFramePr>
              <a:graphicFrameLocks noChangeAspect="1"/>
            </wp:cNvGraphicFramePr>
            <a:graphic>
              <a:graphicData uri="http://schemas.openxmlformats.org/drawingml/2006/picture">
                <pic:pic>
                  <pic:nvPicPr>
                    <pic:cNvPr id="0" name="candidates.png"/>
                    <pic:cNvPicPr/>
                  </pic:nvPicPr>
                  <pic:blipFill>
                    <a:blip r:embed="rId17"/>
                    <a:stretch>
                      <a:fillRect/>
                    </a:stretch>
                  </pic:blipFill>
                  <pic:spPr>
                    <a:xfrm>
                      <a:off x="0" y="0"/>
                      <a:ext cx="5897880" cy="2693076"/>
                    </a:xfrm>
                    <a:prstGeom prst="rect"/>
                  </pic:spPr>
                </pic:pic>
              </a:graphicData>
            </a:graphic>
          </wp:inline>
        </w:drawing>
      </w:r>
    </w:p>
    <w:p>
      <w:pPr>
        <w:spacing w:before="60" w:after="180"/>
        <w:jc w:val="center"/>
      </w:pPr>
      <w:r>
        <w:rPr>
          <w:i/>
          <w:color w:val="555555"/>
          <w:sz w:val="17"/>
        </w:rPr>
        <w:t>Figure 8  One high-confidence ID candidate produced at JSONPath $.id and reused by three requests</w:t>
      </w:r>
    </w:p>
    <w:p>
      <w:pPr>
        <w:pStyle w:val="Heading2"/>
      </w:pPr>
      <w:r>
        <w:t>Decision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4536"/>
            <w:shd w:fill="17365D"/>
            <w:vAlign w:val="center"/>
            <w:tcMar>
              <w:top w:w="110" w:type="dxa"/>
              <w:start w:w="120" w:type="dxa"/>
              <w:bottom w:w="110" w:type="dxa"/>
              <w:end w:w="120" w:type="dxa"/>
            </w:tcMar>
          </w:tcPr>
          <w:p>
            <w:pPr>
              <w:jc w:val="center"/>
            </w:pPr>
            <w:r>
              <w:rPr>
                <w:b/>
                <w:color w:val="FFFFFF"/>
                <w:sz w:val="18"/>
              </w:rPr>
              <w:t>Observation</w:t>
            </w:r>
          </w:p>
        </w:tc>
        <w:tc>
          <w:tcPr>
            <w:tcW w:type="dxa" w:w="4320"/>
            <w:shd w:fill="17365D"/>
            <w:vAlign w:val="center"/>
            <w:tcMar>
              <w:top w:w="110" w:type="dxa"/>
              <w:start w:w="120" w:type="dxa"/>
              <w:bottom w:w="110" w:type="dxa"/>
              <w:end w:w="120" w:type="dxa"/>
            </w:tcMar>
          </w:tcPr>
          <w:p>
            <w:pPr>
              <w:jc w:val="center"/>
            </w:pPr>
            <w:r>
              <w:rPr>
                <w:b/>
                <w:color w:val="FFFFFF"/>
                <w:sz w:val="18"/>
              </w:rPr>
              <w:t>Decision</w:t>
            </w:r>
          </w:p>
        </w:tc>
      </w:tr>
      <w:tr>
        <w:tc>
          <w:tcPr>
            <w:tcW w:type="dxa" w:w="4536"/>
            <w:vAlign w:val="center"/>
            <w:tcMar>
              <w:top w:w="110" w:type="dxa"/>
              <w:start w:w="120" w:type="dxa"/>
              <w:bottom w:w="110" w:type="dxa"/>
              <w:end w:w="120" w:type="dxa"/>
            </w:tcMar>
          </w:tcPr>
          <w:p>
            <w:pPr>
              <w:spacing w:after="0"/>
            </w:pPr>
            <w:r>
              <w:rPr>
                <w:sz w:val="18"/>
              </w:rPr>
              <w:t>Earlier response produces the value and later requests reuse it</w:t>
            </w:r>
          </w:p>
        </w:tc>
        <w:tc>
          <w:tcPr>
            <w:tcW w:type="dxa" w:w="4320"/>
            <w:vAlign w:val="center"/>
            <w:tcMar>
              <w:top w:w="110" w:type="dxa"/>
              <w:start w:w="120" w:type="dxa"/>
              <w:bottom w:w="110" w:type="dxa"/>
              <w:end w:w="120" w:type="dxa"/>
            </w:tcMar>
          </w:tcPr>
          <w:p>
            <w:pPr>
              <w:spacing w:after="0"/>
            </w:pPr>
            <w:r>
              <w:rPr>
                <w:sz w:val="18"/>
              </w:rPr>
              <w:t>Accept or use automatic correlation.</w:t>
            </w:r>
          </w:p>
        </w:tc>
      </w:tr>
      <w:tr>
        <w:tc>
          <w:tcPr>
            <w:tcW w:type="dxa" w:w="4536"/>
            <w:vAlign w:val="center"/>
            <w:tcMar>
              <w:top w:w="110" w:type="dxa"/>
              <w:start w:w="120" w:type="dxa"/>
              <w:bottom w:w="110" w:type="dxa"/>
              <w:end w:w="120" w:type="dxa"/>
            </w:tcMar>
            <w:shd w:fill="F7F9FB"/>
          </w:tcPr>
          <w:p>
            <w:pPr>
              <w:spacing w:after="0"/>
            </w:pPr>
            <w:r>
              <w:rPr>
                <w:sz w:val="18"/>
              </w:rPr>
              <w:t>Value changes but no earlier response produces it</w:t>
            </w:r>
          </w:p>
        </w:tc>
        <w:tc>
          <w:tcPr>
            <w:tcW w:type="dxa" w:w="4320"/>
            <w:vAlign w:val="center"/>
            <w:tcMar>
              <w:top w:w="110" w:type="dxa"/>
              <w:start w:w="120" w:type="dxa"/>
              <w:bottom w:w="110" w:type="dxa"/>
              <w:end w:w="120" w:type="dxa"/>
            </w:tcMar>
            <w:shd w:fill="F7F9FB"/>
          </w:tcPr>
          <w:p>
            <w:pPr>
              <w:spacing w:after="0"/>
            </w:pPr>
            <w:r>
              <w:rPr>
                <w:sz w:val="18"/>
              </w:rPr>
              <w:t>Treat it as input parameterization or runtime configuration.</w:t>
            </w:r>
          </w:p>
        </w:tc>
      </w:tr>
      <w:tr>
        <w:tc>
          <w:tcPr>
            <w:tcW w:type="dxa" w:w="4536"/>
            <w:vAlign w:val="center"/>
            <w:tcMar>
              <w:top w:w="110" w:type="dxa"/>
              <w:start w:w="120" w:type="dxa"/>
              <w:bottom w:w="110" w:type="dxa"/>
              <w:end w:w="120" w:type="dxa"/>
            </w:tcMar>
          </w:tcPr>
          <w:p>
            <w:pPr>
              <w:spacing w:after="0"/>
            </w:pPr>
            <w:r>
              <w:rPr>
                <w:sz w:val="18"/>
              </w:rPr>
              <w:t>Authorization, API key or secret</w:t>
            </w:r>
          </w:p>
        </w:tc>
        <w:tc>
          <w:tcPr>
            <w:tcW w:type="dxa" w:w="4320"/>
            <w:vAlign w:val="center"/>
            <w:tcMar>
              <w:top w:w="110" w:type="dxa"/>
              <w:start w:w="120" w:type="dxa"/>
              <w:bottom w:w="110" w:type="dxa"/>
              <w:end w:w="120" w:type="dxa"/>
            </w:tcMar>
          </w:tcPr>
          <w:p>
            <w:pPr>
              <w:spacing w:after="0"/>
            </w:pPr>
            <w:r>
              <w:rPr>
                <w:sz w:val="18"/>
              </w:rPr>
              <w:t>Keep it as an external JMeter property.</w:t>
            </w:r>
          </w:p>
        </w:tc>
      </w:tr>
      <w:tr>
        <w:tc>
          <w:tcPr>
            <w:tcW w:type="dxa" w:w="4536"/>
            <w:vAlign w:val="center"/>
            <w:tcMar>
              <w:top w:w="110" w:type="dxa"/>
              <w:start w:w="120" w:type="dxa"/>
              <w:bottom w:w="110" w:type="dxa"/>
              <w:end w:w="120" w:type="dxa"/>
            </w:tcMar>
            <w:shd w:fill="F7F9FB"/>
          </w:tcPr>
          <w:p>
            <w:pPr>
              <w:spacing w:after="0"/>
            </w:pPr>
            <w:r>
              <w:rPr>
                <w:sz w:val="18"/>
              </w:rPr>
              <w:t>Cookie maintained by session behavior</w:t>
            </w:r>
          </w:p>
        </w:tc>
        <w:tc>
          <w:tcPr>
            <w:tcW w:type="dxa" w:w="4320"/>
            <w:vAlign w:val="center"/>
            <w:tcMar>
              <w:top w:w="110" w:type="dxa"/>
              <w:start w:w="120" w:type="dxa"/>
              <w:bottom w:w="110" w:type="dxa"/>
              <w:end w:w="120" w:type="dxa"/>
            </w:tcMar>
            <w:shd w:fill="F7F9FB"/>
          </w:tcPr>
          <w:p>
            <w:pPr>
              <w:spacing w:after="0"/>
            </w:pPr>
            <w:r>
              <w:rPr>
                <w:sz w:val="18"/>
              </w:rPr>
              <w:t>Use JMeter HTTP Cookie Manager.</w:t>
            </w:r>
          </w:p>
        </w:tc>
      </w:tr>
      <w:tr>
        <w:tc>
          <w:tcPr>
            <w:tcW w:type="dxa" w:w="4536"/>
            <w:vAlign w:val="center"/>
            <w:tcMar>
              <w:top w:w="110" w:type="dxa"/>
              <w:start w:w="120" w:type="dxa"/>
              <w:bottom w:w="110" w:type="dxa"/>
              <w:end w:w="120" w:type="dxa"/>
            </w:tcMar>
          </w:tcPr>
          <w:p>
            <w:pPr>
              <w:spacing w:after="0"/>
            </w:pPr>
            <w:r>
              <w:rPr>
                <w:sz w:val="18"/>
              </w:rPr>
              <w:t>Host, Content-Length, Postman-Token or Accept-Encoding</w:t>
            </w:r>
          </w:p>
        </w:tc>
        <w:tc>
          <w:tcPr>
            <w:tcW w:type="dxa" w:w="4320"/>
            <w:vAlign w:val="center"/>
            <w:tcMar>
              <w:top w:w="110" w:type="dxa"/>
              <w:start w:w="120" w:type="dxa"/>
              <w:bottom w:w="110" w:type="dxa"/>
              <w:end w:w="120" w:type="dxa"/>
            </w:tcMar>
          </w:tcPr>
          <w:p>
            <w:pPr>
              <w:spacing w:after="0"/>
            </w:pPr>
            <w:r>
              <w:rPr>
                <w:sz w:val="18"/>
              </w:rPr>
              <w:t>Treat as transport noise and let JMeter compute it.</w:t>
            </w:r>
          </w:p>
        </w:tc>
      </w:tr>
    </w:tbl>
    <w:p>
      <w:pPr>
        <w:spacing w:after="0"/>
      </w:pPr>
    </w:p>
    <w:p>
      <w:pPr>
        <w:pStyle w:val="Heading2"/>
      </w:pPr>
      <w:r>
        <w:t>Automatic option</w:t>
      </w:r>
    </w:p>
    <w:p>
      <w:pPr>
        <w:pStyle w:val="ListNumber"/>
        <w:spacing w:after="60"/>
      </w:pPr>
      <w:r>
        <w:t>Click Auto correlate all reused values once.</w:t>
      </w:r>
    </w:p>
    <w:p>
      <w:pPr>
        <w:pStyle w:val="ListNumber"/>
        <w:spacing w:after="60"/>
      </w:pPr>
      <w:r>
        <w:t>Confirm the button changes to Correlation completed and becomes disabled.</w:t>
      </w:r>
    </w:p>
    <w:p>
      <w:pPr>
        <w:pStyle w:val="ListNumber"/>
        <w:spacing w:after="60"/>
      </w:pPr>
      <w:r>
        <w:t>Open Dependency graph and verify the producer points to the expected consumers.</w:t>
      </w:r>
    </w:p>
    <w:p>
      <w:pPr>
        <w:pStyle w:val="ListNumber"/>
        <w:spacing w:after="60"/>
      </w:pPr>
      <w:r>
        <w:t>Confirm Generate displays the accepted rule count.</w:t>
      </w:r>
    </w:p>
    <w:p>
      <w:r>
        <w:t>Variable names may be edited for clarity. For example, a response field named id can be renamed from ${id} to ${order_id} when the business meaning is an order identifier.</w:t>
      </w:r>
    </w:p>
    <w:p>
      <w:pPr>
        <w:pStyle w:val="Heading1"/>
      </w:pPr>
      <w:r>
        <w:t>6 Generate the JMeter Plan</w:t>
      </w:r>
    </w:p>
    <w:p>
      <w:r>
        <w:t>Open Generate after accepting the correlation. Use Preview Draft to inspect the planned producer, extractor, variable and consumers before creating the JMX.</w:t>
      </w:r>
    </w:p>
    <w:p>
      <w:pPr>
        <w:pStyle w:val="Heading2"/>
      </w:pPr>
      <w:r>
        <w:t>Recommended generation settings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7365D"/>
            <w:vAlign w:val="center"/>
            <w:tcMar>
              <w:top w:w="110" w:type="dxa"/>
              <w:start w:w="120" w:type="dxa"/>
              <w:bottom w:w="110" w:type="dxa"/>
              <w:end w:w="120" w:type="dxa"/>
            </w:tcMar>
          </w:tcPr>
          <w:p>
            <w:pPr>
              <w:jc w:val="center"/>
            </w:pPr>
            <w:r>
              <w:rPr>
                <w:b/>
                <w:color w:val="FFFFFF"/>
                <w:sz w:val="18"/>
              </w:rPr>
              <w:t>Setting</w:t>
            </w:r>
          </w:p>
        </w:tc>
        <w:tc>
          <w:tcPr>
            <w:tcW w:type="dxa" w:w="2951"/>
            <w:shd w:fill="17365D"/>
            <w:vAlign w:val="center"/>
            <w:tcMar>
              <w:top w:w="110" w:type="dxa"/>
              <w:start w:w="120" w:type="dxa"/>
              <w:bottom w:w="110" w:type="dxa"/>
              <w:end w:w="120" w:type="dxa"/>
            </w:tcMar>
          </w:tcPr>
          <w:p>
            <w:pPr>
              <w:jc w:val="center"/>
            </w:pPr>
            <w:r>
              <w:rPr>
                <w:b/>
                <w:color w:val="FFFFFF"/>
                <w:sz w:val="18"/>
              </w:rPr>
              <w:t>Recommended value</w:t>
            </w:r>
          </w:p>
        </w:tc>
        <w:tc>
          <w:tcPr>
            <w:tcW w:type="dxa" w:w="3671"/>
            <w:shd w:fill="17365D"/>
            <w:vAlign w:val="center"/>
            <w:tcMar>
              <w:top w:w="110" w:type="dxa"/>
              <w:start w:w="120" w:type="dxa"/>
              <w:bottom w:w="110" w:type="dxa"/>
              <w:end w:w="120" w:type="dxa"/>
            </w:tcMar>
          </w:tcPr>
          <w:p>
            <w:pPr>
              <w:jc w:val="center"/>
            </w:pPr>
            <w:r>
              <w:rPr>
                <w:b/>
                <w:color w:val="FFFFFF"/>
                <w:sz w:val="18"/>
              </w:rPr>
              <w:t>Reason</w:t>
            </w:r>
          </w:p>
        </w:tc>
      </w:tr>
      <w:tr>
        <w:tc>
          <w:tcPr>
            <w:tcW w:type="dxa" w:w="2232"/>
            <w:vAlign w:val="center"/>
            <w:tcMar>
              <w:top w:w="110" w:type="dxa"/>
              <w:start w:w="120" w:type="dxa"/>
              <w:bottom w:w="110" w:type="dxa"/>
              <w:end w:w="120" w:type="dxa"/>
            </w:tcMar>
          </w:tcPr>
          <w:p>
            <w:pPr>
              <w:spacing w:after="0"/>
            </w:pPr>
            <w:r>
              <w:rPr>
                <w:sz w:val="18"/>
              </w:rPr>
              <w:t>Threads</w:t>
            </w:r>
          </w:p>
        </w:tc>
        <w:tc>
          <w:tcPr>
            <w:tcW w:type="dxa" w:w="2951"/>
            <w:vAlign w:val="center"/>
            <w:tcMar>
              <w:top w:w="110" w:type="dxa"/>
              <w:start w:w="120" w:type="dxa"/>
              <w:bottom w:w="110" w:type="dxa"/>
              <w:end w:w="120" w:type="dxa"/>
            </w:tcMar>
          </w:tcPr>
          <w:p>
            <w:pPr>
              <w:spacing w:after="0"/>
            </w:pPr>
            <w:r>
              <w:rPr>
                <w:sz w:val="18"/>
              </w:rPr>
              <w:t>1 for functional validation</w:t>
            </w:r>
          </w:p>
        </w:tc>
        <w:tc>
          <w:tcPr>
            <w:tcW w:type="dxa" w:w="3671"/>
            <w:vAlign w:val="center"/>
            <w:tcMar>
              <w:top w:w="110" w:type="dxa"/>
              <w:start w:w="120" w:type="dxa"/>
              <w:bottom w:w="110" w:type="dxa"/>
              <w:end w:w="120" w:type="dxa"/>
            </w:tcMar>
          </w:tcPr>
          <w:p>
            <w:pPr>
              <w:spacing w:after="0"/>
            </w:pPr>
            <w:r>
              <w:rPr>
                <w:sz w:val="18"/>
              </w:rPr>
              <w:t>Reduces diagnostic noise before load sizing.</w:t>
            </w:r>
          </w:p>
        </w:tc>
      </w:tr>
      <w:tr>
        <w:tc>
          <w:tcPr>
            <w:tcW w:type="dxa" w:w="2232"/>
            <w:vAlign w:val="center"/>
            <w:tcMar>
              <w:top w:w="110" w:type="dxa"/>
              <w:start w:w="120" w:type="dxa"/>
              <w:bottom w:w="110" w:type="dxa"/>
              <w:end w:w="120" w:type="dxa"/>
            </w:tcMar>
            <w:shd w:fill="F7F9FB"/>
          </w:tcPr>
          <w:p>
            <w:pPr>
              <w:spacing w:after="0"/>
            </w:pPr>
            <w:r>
              <w:rPr>
                <w:sz w:val="18"/>
              </w:rPr>
              <w:t>Loops</w:t>
            </w:r>
          </w:p>
        </w:tc>
        <w:tc>
          <w:tcPr>
            <w:tcW w:type="dxa" w:w="2951"/>
            <w:vAlign w:val="center"/>
            <w:tcMar>
              <w:top w:w="110" w:type="dxa"/>
              <w:start w:w="120" w:type="dxa"/>
              <w:bottom w:w="110" w:type="dxa"/>
              <w:end w:w="120" w:type="dxa"/>
            </w:tcMar>
            <w:shd w:fill="F7F9FB"/>
          </w:tcPr>
          <w:p>
            <w:pPr>
              <w:spacing w:after="0"/>
            </w:pPr>
            <w:r>
              <w:rPr>
                <w:sz w:val="18"/>
              </w:rPr>
              <w:t>1 for functional validation</w:t>
            </w:r>
          </w:p>
        </w:tc>
        <w:tc>
          <w:tcPr>
            <w:tcW w:type="dxa" w:w="3671"/>
            <w:vAlign w:val="center"/>
            <w:tcMar>
              <w:top w:w="110" w:type="dxa"/>
              <w:start w:w="120" w:type="dxa"/>
              <w:bottom w:w="110" w:type="dxa"/>
              <w:end w:w="120" w:type="dxa"/>
            </w:tcMar>
            <w:shd w:fill="F7F9FB"/>
          </w:tcPr>
          <w:p>
            <w:pPr>
              <w:spacing w:after="0"/>
            </w:pPr>
            <w:r>
              <w:rPr>
                <w:sz w:val="18"/>
              </w:rPr>
              <w:t>Confirms one complete business journey.</w:t>
            </w:r>
          </w:p>
        </w:tc>
      </w:tr>
      <w:tr>
        <w:tc>
          <w:tcPr>
            <w:tcW w:type="dxa" w:w="2232"/>
            <w:vAlign w:val="center"/>
            <w:tcMar>
              <w:top w:w="110" w:type="dxa"/>
              <w:start w:w="120" w:type="dxa"/>
              <w:bottom w:w="110" w:type="dxa"/>
              <w:end w:w="120" w:type="dxa"/>
            </w:tcMar>
          </w:tcPr>
          <w:p>
            <w:pPr>
              <w:spacing w:after="0"/>
            </w:pPr>
            <w:r>
              <w:rPr>
                <w:sz w:val="18"/>
              </w:rPr>
              <w:t>Parameterize host</w:t>
            </w:r>
          </w:p>
        </w:tc>
        <w:tc>
          <w:tcPr>
            <w:tcW w:type="dxa" w:w="2951"/>
            <w:vAlign w:val="center"/>
            <w:tcMar>
              <w:top w:w="110" w:type="dxa"/>
              <w:start w:w="120" w:type="dxa"/>
              <w:bottom w:w="110" w:type="dxa"/>
              <w:end w:w="120" w:type="dxa"/>
            </w:tcMar>
          </w:tcPr>
          <w:p>
            <w:pPr>
              <w:spacing w:after="0"/>
            </w:pPr>
            <w:r>
              <w:rPr>
                <w:sz w:val="18"/>
              </w:rPr>
              <w:t>Enabled</w:t>
            </w:r>
          </w:p>
        </w:tc>
        <w:tc>
          <w:tcPr>
            <w:tcW w:type="dxa" w:w="3671"/>
            <w:vAlign w:val="center"/>
            <w:tcMar>
              <w:top w:w="110" w:type="dxa"/>
              <w:start w:w="120" w:type="dxa"/>
              <w:bottom w:w="110" w:type="dxa"/>
              <w:end w:w="120" w:type="dxa"/>
            </w:tcMar>
          </w:tcPr>
          <w:p>
            <w:pPr>
              <w:spacing w:after="0"/>
            </w:pPr>
            <w:r>
              <w:rPr>
                <w:sz w:val="18"/>
              </w:rPr>
              <w:t>Keeps the target environment configurable.</w:t>
            </w:r>
          </w:p>
        </w:tc>
      </w:tr>
      <w:tr>
        <w:tc>
          <w:tcPr>
            <w:tcW w:type="dxa" w:w="2232"/>
            <w:vAlign w:val="center"/>
            <w:tcMar>
              <w:top w:w="110" w:type="dxa"/>
              <w:start w:w="120" w:type="dxa"/>
              <w:bottom w:w="110" w:type="dxa"/>
              <w:end w:w="120" w:type="dxa"/>
            </w:tcMar>
            <w:shd w:fill="F7F9FB"/>
          </w:tcPr>
          <w:p>
            <w:pPr>
              <w:spacing w:after="0"/>
            </w:pPr>
            <w:r>
              <w:rPr>
                <w:sz w:val="18"/>
              </w:rPr>
              <w:t>Cache Manager</w:t>
            </w:r>
          </w:p>
        </w:tc>
        <w:tc>
          <w:tcPr>
            <w:tcW w:type="dxa" w:w="2951"/>
            <w:vAlign w:val="center"/>
            <w:tcMar>
              <w:top w:w="110" w:type="dxa"/>
              <w:start w:w="120" w:type="dxa"/>
              <w:bottom w:w="110" w:type="dxa"/>
              <w:end w:w="120" w:type="dxa"/>
            </w:tcMar>
            <w:shd w:fill="F7F9FB"/>
          </w:tcPr>
          <w:p>
            <w:pPr>
              <w:spacing w:after="0"/>
            </w:pPr>
            <w:r>
              <w:rPr>
                <w:sz w:val="18"/>
              </w:rPr>
              <w:t>Enabled when browser-like caching is desired</w:t>
            </w:r>
          </w:p>
        </w:tc>
        <w:tc>
          <w:tcPr>
            <w:tcW w:type="dxa" w:w="3671"/>
            <w:vAlign w:val="center"/>
            <w:tcMar>
              <w:top w:w="110" w:type="dxa"/>
              <w:start w:w="120" w:type="dxa"/>
              <w:bottom w:w="110" w:type="dxa"/>
              <w:end w:w="120" w:type="dxa"/>
            </w:tcMar>
            <w:shd w:fill="F7F9FB"/>
          </w:tcPr>
          <w:p>
            <w:pPr>
              <w:spacing w:after="0"/>
            </w:pPr>
            <w:r>
              <w:rPr>
                <w:sz w:val="18"/>
              </w:rPr>
              <w:t>Replays common HTTP caching behavior.</w:t>
            </w:r>
          </w:p>
        </w:tc>
      </w:tr>
      <w:tr>
        <w:tc>
          <w:tcPr>
            <w:tcW w:type="dxa" w:w="2232"/>
            <w:vAlign w:val="center"/>
            <w:tcMar>
              <w:top w:w="110" w:type="dxa"/>
              <w:start w:w="120" w:type="dxa"/>
              <w:bottom w:w="110" w:type="dxa"/>
              <w:end w:w="120" w:type="dxa"/>
            </w:tcMar>
          </w:tcPr>
          <w:p>
            <w:pPr>
              <w:spacing w:after="0"/>
            </w:pPr>
            <w:r>
              <w:rPr>
                <w:sz w:val="18"/>
              </w:rPr>
              <w:t>Keep User-Agent</w:t>
            </w:r>
          </w:p>
        </w:tc>
        <w:tc>
          <w:tcPr>
            <w:tcW w:type="dxa" w:w="2951"/>
            <w:vAlign w:val="center"/>
            <w:tcMar>
              <w:top w:w="110" w:type="dxa"/>
              <w:start w:w="120" w:type="dxa"/>
              <w:bottom w:w="110" w:type="dxa"/>
              <w:end w:w="120" w:type="dxa"/>
            </w:tcMar>
          </w:tcPr>
          <w:p>
            <w:pPr>
              <w:spacing w:after="0"/>
            </w:pPr>
            <w:r>
              <w:rPr>
                <w:sz w:val="18"/>
              </w:rPr>
              <w:t>Disabled unless required</w:t>
            </w:r>
          </w:p>
        </w:tc>
        <w:tc>
          <w:tcPr>
            <w:tcW w:type="dxa" w:w="3671"/>
            <w:vAlign w:val="center"/>
            <w:tcMar>
              <w:top w:w="110" w:type="dxa"/>
              <w:start w:w="120" w:type="dxa"/>
              <w:bottom w:w="110" w:type="dxa"/>
              <w:end w:w="120" w:type="dxa"/>
            </w:tcMar>
          </w:tcPr>
          <w:p>
            <w:pPr>
              <w:spacing w:after="0"/>
            </w:pPr>
            <w:r>
              <w:rPr>
                <w:sz w:val="18"/>
              </w:rPr>
              <w:t>Lets JMeter manage transport headers.</w:t>
            </w:r>
          </w:p>
        </w:tc>
      </w:tr>
      <w:tr>
        <w:tc>
          <w:tcPr>
            <w:tcW w:type="dxa" w:w="2232"/>
            <w:vAlign w:val="center"/>
            <w:tcMar>
              <w:top w:w="110" w:type="dxa"/>
              <w:start w:w="120" w:type="dxa"/>
              <w:bottom w:w="110" w:type="dxa"/>
              <w:end w:w="120" w:type="dxa"/>
            </w:tcMar>
            <w:shd w:fill="F7F9FB"/>
          </w:tcPr>
          <w:p>
            <w:pPr>
              <w:spacing w:after="0"/>
            </w:pPr>
            <w:r>
              <w:rPr>
                <w:sz w:val="18"/>
              </w:rPr>
              <w:t>Embed static secrets</w:t>
            </w:r>
          </w:p>
        </w:tc>
        <w:tc>
          <w:tcPr>
            <w:tcW w:type="dxa" w:w="2951"/>
            <w:vAlign w:val="center"/>
            <w:tcMar>
              <w:top w:w="110" w:type="dxa"/>
              <w:start w:w="120" w:type="dxa"/>
              <w:bottom w:w="110" w:type="dxa"/>
              <w:end w:w="120" w:type="dxa"/>
            </w:tcMar>
            <w:shd w:fill="F7F9FB"/>
          </w:tcPr>
          <w:p>
            <w:pPr>
              <w:spacing w:after="0"/>
            </w:pPr>
            <w:r>
              <w:rPr>
                <w:sz w:val="18"/>
              </w:rPr>
              <w:t>Disabled</w:t>
            </w:r>
          </w:p>
        </w:tc>
        <w:tc>
          <w:tcPr>
            <w:tcW w:type="dxa" w:w="3671"/>
            <w:vAlign w:val="center"/>
            <w:tcMar>
              <w:top w:w="110" w:type="dxa"/>
              <w:start w:w="120" w:type="dxa"/>
              <w:bottom w:w="110" w:type="dxa"/>
              <w:end w:w="120" w:type="dxa"/>
            </w:tcMar>
            <w:shd w:fill="F7F9FB"/>
          </w:tcPr>
          <w:p>
            <w:pPr>
              <w:spacing w:after="0"/>
            </w:pPr>
            <w:r>
              <w:rPr>
                <w:sz w:val="18"/>
              </w:rPr>
              <w:t>Prevents credentials from being stored in the JMX.</w:t>
            </w:r>
          </w:p>
        </w:tc>
      </w:tr>
    </w:tbl>
    <w:p>
      <w:pPr>
        <w:spacing w:after="0"/>
      </w:pPr>
    </w:p>
    <w:p>
      <w:pPr>
        <w:jc w:val="center"/>
      </w:pPr>
      <w:r>
        <w:drawing>
          <wp:inline xmlns:a="http://schemas.openxmlformats.org/drawingml/2006/main" xmlns:pic="http://schemas.openxmlformats.org/drawingml/2006/picture">
            <wp:extent cx="5212080" cy="2812869"/>
            <wp:docPr id="9" name="Picture 9" descr="Baseline11 Generate page showing one accepted correlation, three downstream substitutions, JMX download, and Authorization validation input"/>
            <wp:cNvGraphicFramePr>
              <a:graphicFrameLocks noChangeAspect="1"/>
            </wp:cNvGraphicFramePr>
            <a:graphic>
              <a:graphicData uri="http://schemas.openxmlformats.org/drawingml/2006/picture">
                <pic:pic>
                  <pic:nvPicPr>
                    <pic:cNvPr id="0" name="generate-and-validate.png"/>
                    <pic:cNvPicPr/>
                  </pic:nvPicPr>
                  <pic:blipFill>
                    <a:blip r:embed="rId18"/>
                    <a:stretch>
                      <a:fillRect/>
                    </a:stretch>
                  </pic:blipFill>
                  <pic:spPr>
                    <a:xfrm>
                      <a:off x="0" y="0"/>
                      <a:ext cx="5212080" cy="2812869"/>
                    </a:xfrm>
                    <a:prstGeom prst="rect"/>
                  </pic:spPr>
                </pic:pic>
              </a:graphicData>
            </a:graphic>
          </wp:inline>
        </w:drawing>
      </w:r>
    </w:p>
    <w:p>
      <w:pPr>
        <w:spacing w:before="60" w:after="180"/>
        <w:jc w:val="center"/>
      </w:pPr>
      <w:r>
        <w:rPr>
          <w:i/>
          <w:color w:val="555555"/>
          <w:sz w:val="17"/>
        </w:rPr>
        <w:t>Figure 9  Generated JMX summary and runtime Authorization property required for validation</w:t>
      </w:r>
    </w:p>
    <w:p>
      <w:pPr>
        <w:pStyle w:val="Heading2"/>
      </w:pPr>
      <w:r>
        <w:t>What the JMX should contain</w:t>
      </w:r>
    </w:p>
    <w:p>
      <w:pPr>
        <w:pStyle w:val="ListBullet"/>
        <w:spacing w:after="40"/>
      </w:pPr>
      <w:r>
        <w:t>One HTTP sampler per aligned Newman execution.</w:t>
      </w:r>
    </w:p>
    <w:p>
      <w:pPr>
        <w:pStyle w:val="ListBullet"/>
        <w:spacing w:after="40"/>
      </w:pPr>
      <w:r>
        <w:t>A JSON Extractor attached to the producer request, for example $.id.</w:t>
      </w:r>
    </w:p>
    <w:p>
      <w:pPr>
        <w:pStyle w:val="ListBullet"/>
        <w:spacing w:after="40"/>
      </w:pPr>
      <w:r>
        <w:t>JMeter variable references such as ${id} or ${order_id} in downstream requests.</w:t>
      </w:r>
    </w:p>
    <w:p>
      <w:pPr>
        <w:pStyle w:val="ListBullet"/>
        <w:spacing w:after="40"/>
      </w:pPr>
      <w:r>
        <w:t>Cookie and cache managers where selected.</w:t>
      </w:r>
    </w:p>
    <w:p>
      <w:pPr>
        <w:pStyle w:val="ListBullet"/>
        <w:spacing w:after="40"/>
      </w:pPr>
      <w:r>
        <w:t>External property expressions such as ${__P(Authorization,)} for credentials.</w:t>
      </w:r>
    </w:p>
    <w:p>
      <w:pPr>
        <w:pStyle w:val="Heading1"/>
      </w:pPr>
      <w:r>
        <w:t>7 Validate with Apache JMeter 5.6.3</w:t>
      </w:r>
    </w:p>
    <w:p>
      <w:r>
        <w:t>Generated means the XML structure is valid. Validated means Apache JMeter executed the plan successfully with the required runtime properties. The web validation form passes secrets only to that execution and does not store them in the JMX.</w:t>
      </w:r>
    </w:p>
    <w:p>
      <w:pPr>
        <w:pStyle w:val="Heading2"/>
      </w:pPr>
      <w:r>
        <w:t>Authorization value for Basic authentication</w:t>
      </w:r>
    </w:p>
    <w:p>
      <w:r>
        <w:t>Supply the complete Basic Authorization header value, not only the key or secret. It has this form:</w:t>
      </w:r>
    </w:p>
    <w:p>
      <w:pPr>
        <w:spacing w:before="60" w:after="140" w:line="252" w:lineRule="auto"/>
        <w:ind w:left="360" w:right="216"/>
        <w:shd w:fill="F2F4F7"/>
      </w:pPr>
      <w:r>
        <w:rPr>
          <w:rFonts w:ascii="Consolas" w:hAnsi="Consolas"/>
          <w:sz w:val="16"/>
        </w:rPr>
        <w:t>Basic &lt;Base64(api_key:api_secret)&gt;</w:t>
      </w:r>
    </w:p>
    <w:p>
      <w:r>
        <w:t>Create the value locally without printing the secret:</w:t>
      </w:r>
    </w:p>
    <w:p>
      <w:pPr>
        <w:spacing w:before="60" w:after="140" w:line="252" w:lineRule="auto"/>
        <w:ind w:left="360" w:right="216"/>
        <w:shd w:fill="F2F4F7"/>
      </w:pPr>
      <w:r>
        <w:rPr>
          <w:rFonts w:ascii="Consolas" w:hAnsi="Consolas"/>
          <w:sz w:val="16"/>
        </w:rPr>
        <w:t>$e = Get-Content -Raw -LiteralPath 'C:\QA\test.postman_environment.json' | ConvertFrom-Json</w:t>
      </w:r>
      <w:r>
        <w:br/>
      </w:r>
      <w:r>
        <w:rPr>
          <w:rFonts w:ascii="Consolas" w:hAnsi="Consolas"/>
          <w:sz w:val="16"/>
        </w:rPr>
        <w:t>$key = ($e.values | Where-Object key -eq 'api_key').value</w:t>
      </w:r>
      <w:r>
        <w:br/>
      </w:r>
      <w:r>
        <w:rPr>
          <w:rFonts w:ascii="Consolas" w:hAnsi="Consolas"/>
          <w:sz w:val="16"/>
        </w:rPr>
        <w:t>$secret = ($e.values | Where-Object key -eq 'api_secret').value</w:t>
      </w:r>
      <w:r>
        <w:br/>
      </w:r>
      <w:r>
        <w:rPr>
          <w:rFonts w:ascii="Consolas" w:hAnsi="Consolas"/>
          <w:sz w:val="16"/>
        </w:rPr>
        <w:t>$auth = 'Basic ' + [Convert]::ToBase64String([Text.Encoding]::ASCII.GetBytes($key + ':' + $secret))</w:t>
      </w:r>
    </w:p>
    <w:p>
      <w:pPr>
        <w:pStyle w:val="Heading2"/>
      </w:pPr>
      <w:r>
        <w:t>Open the JMX in the JMeter GUI with runtime credentials</w:t>
      </w:r>
    </w:p>
    <w:p>
      <w:pPr>
        <w:spacing w:before="60" w:after="140" w:line="252" w:lineRule="auto"/>
        <w:ind w:left="360" w:right="216"/>
        <w:shd w:fill="F2F4F7"/>
      </w:pPr>
      <w:r>
        <w:rPr>
          <w:rFonts w:ascii="Consolas" w:hAnsi="Consolas"/>
          <w:sz w:val="16"/>
        </w:rPr>
        <w:t>&amp; 'C:\Tools\apache-jmeter-5.6.3\bin\jmeter.bat' `</w:t>
      </w:r>
      <w:r>
        <w:br/>
      </w:r>
      <w:r>
        <w:rPr>
          <w:rFonts w:ascii="Consolas" w:hAnsi="Consolas"/>
          <w:sz w:val="16"/>
        </w:rPr>
        <w:t xml:space="preserve">  "-JAuthorization=$auth" `</w:t>
      </w:r>
      <w:r>
        <w:br/>
      </w:r>
      <w:r>
        <w:rPr>
          <w:rFonts w:ascii="Consolas" w:hAnsi="Consolas"/>
          <w:sz w:val="16"/>
        </w:rPr>
        <w:t xml:space="preserve">  -t 'C:\QA\output\correlated.jmx'</w:t>
      </w:r>
    </w:p>
    <w:p>
      <w:r>
        <w:t>For a non-GUI validation run:</w:t>
      </w:r>
    </w:p>
    <w:p>
      <w:pPr>
        <w:spacing w:before="60" w:after="140" w:line="252" w:lineRule="auto"/>
        <w:ind w:left="360" w:right="216"/>
        <w:shd w:fill="F2F4F7"/>
      </w:pPr>
      <w:r>
        <w:rPr>
          <w:rFonts w:ascii="Consolas" w:hAnsi="Consolas"/>
          <w:sz w:val="16"/>
        </w:rPr>
        <w:t>&amp; 'C:\Tools\apache-jmeter-5.6.3\bin\jmeter.bat' `</w:t>
      </w:r>
      <w:r>
        <w:br/>
      </w:r>
      <w:r>
        <w:rPr>
          <w:rFonts w:ascii="Consolas" w:hAnsi="Consolas"/>
          <w:sz w:val="16"/>
        </w:rPr>
        <w:t xml:space="preserve">  -n -t 'C:\QA\output\correlated.jmx' `</w:t>
      </w:r>
      <w:r>
        <w:br/>
      </w:r>
      <w:r>
        <w:rPr>
          <w:rFonts w:ascii="Consolas" w:hAnsi="Consolas"/>
          <w:sz w:val="16"/>
        </w:rPr>
        <w:t xml:space="preserve">  "-JAuthorization=$auth" `</w:t>
      </w:r>
      <w:r>
        <w:br/>
      </w:r>
      <w:r>
        <w:rPr>
          <w:rFonts w:ascii="Consolas" w:hAnsi="Consolas"/>
          <w:sz w:val="16"/>
        </w:rPr>
        <w:t xml:space="preserve">  -l 'C:\QA\output\results.jtl'</w:t>
      </w:r>
    </w:p>
    <w:p>
      <w:pPr>
        <w:pStyle w:val="Heading2"/>
      </w:pPr>
      <w:r>
        <w:t>Validation acceptance criteria</w:t>
      </w:r>
    </w:p>
    <w:p>
      <w:pPr>
        <w:pStyle w:val="ListBullet"/>
        <w:spacing w:after="40"/>
      </w:pPr>
      <w:r>
        <w:t>All required samplers execute.</w:t>
      </w:r>
    </w:p>
    <w:p>
      <w:pPr>
        <w:pStyle w:val="ListBullet"/>
        <w:spacing w:after="40"/>
      </w:pPr>
      <w:r>
        <w:t>Authentication succeeds and there are no HTTP 401 or 403 responses.</w:t>
      </w:r>
    </w:p>
    <w:p>
      <w:pPr>
        <w:pStyle w:val="ListBullet"/>
        <w:spacing w:after="40"/>
      </w:pPr>
      <w:r>
        <w:t>The producer response is successful.</w:t>
      </w:r>
    </w:p>
    <w:p>
      <w:pPr>
        <w:pStyle w:val="ListBullet"/>
        <w:spacing w:after="40"/>
      </w:pPr>
      <w:r>
        <w:t>The extractor captures a value instead of __NOT_FOUND__.</w:t>
      </w:r>
    </w:p>
    <w:p>
      <w:pPr>
        <w:pStyle w:val="ListBullet"/>
        <w:spacing w:after="40"/>
      </w:pPr>
      <w:r>
        <w:t>Downstream requests contain the extracted runtime value.</w:t>
      </w:r>
    </w:p>
    <w:p>
      <w:pPr>
        <w:pStyle w:val="ListBullet"/>
        <w:spacing w:after="40"/>
      </w:pPr>
      <w:r>
        <w:t>The sampler error ratio meets the project threshold.</w:t>
      </w:r>
    </w:p>
    <w:p>
      <w:pPr>
        <w:pStyle w:val="Heading1"/>
      </w:pPr>
      <w:r>
        <w:t>8 Package the Deliverables</w:t>
      </w:r>
    </w:p>
    <w:p>
      <w:r>
        <w:t>Give testers the files needed to reproduce the workflow while separating reusable assets from secrets.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671"/>
            <w:shd w:fill="17365D"/>
            <w:vAlign w:val="center"/>
            <w:tcMar>
              <w:top w:w="110" w:type="dxa"/>
              <w:start w:w="120" w:type="dxa"/>
              <w:bottom w:w="110" w:type="dxa"/>
              <w:end w:w="120" w:type="dxa"/>
            </w:tcMar>
          </w:tcPr>
          <w:p>
            <w:pPr>
              <w:jc w:val="center"/>
            </w:pPr>
            <w:r>
              <w:rPr>
                <w:b/>
                <w:color w:val="FFFFFF"/>
                <w:sz w:val="18"/>
              </w:rPr>
              <w:t>File</w:t>
            </w:r>
          </w:p>
        </w:tc>
        <w:tc>
          <w:tcPr>
            <w:tcW w:type="dxa" w:w="1440"/>
            <w:shd w:fill="17365D"/>
            <w:vAlign w:val="center"/>
            <w:tcMar>
              <w:top w:w="110" w:type="dxa"/>
              <w:start w:w="120" w:type="dxa"/>
              <w:bottom w:w="110" w:type="dxa"/>
              <w:end w:w="120" w:type="dxa"/>
            </w:tcMar>
          </w:tcPr>
          <w:p>
            <w:pPr>
              <w:jc w:val="center"/>
            </w:pPr>
            <w:r>
              <w:rPr>
                <w:b/>
                <w:color w:val="FFFFFF"/>
                <w:sz w:val="18"/>
              </w:rPr>
              <w:t>Share</w:t>
            </w:r>
          </w:p>
        </w:tc>
        <w:tc>
          <w:tcPr>
            <w:tcW w:type="dxa" w:w="3744"/>
            <w:shd w:fill="17365D"/>
            <w:vAlign w:val="center"/>
            <w:tcMar>
              <w:top w:w="110" w:type="dxa"/>
              <w:start w:w="120" w:type="dxa"/>
              <w:bottom w:w="110" w:type="dxa"/>
              <w:end w:w="120" w:type="dxa"/>
            </w:tcMar>
          </w:tcPr>
          <w:p>
            <w:pPr>
              <w:jc w:val="center"/>
            </w:pPr>
            <w:r>
              <w:rPr>
                <w:b/>
                <w:color w:val="FFFFFF"/>
                <w:sz w:val="18"/>
              </w:rPr>
              <w:t>Purpose</w:t>
            </w:r>
          </w:p>
        </w:tc>
      </w:tr>
      <w:tr>
        <w:tc>
          <w:tcPr>
            <w:tcW w:type="dxa" w:w="3671"/>
            <w:vAlign w:val="center"/>
            <w:tcMar>
              <w:top w:w="110" w:type="dxa"/>
              <w:start w:w="120" w:type="dxa"/>
              <w:bottom w:w="110" w:type="dxa"/>
              <w:end w:w="120" w:type="dxa"/>
            </w:tcMar>
          </w:tcPr>
          <w:p>
            <w:pPr>
              <w:spacing w:after="0"/>
            </w:pPr>
            <w:r>
              <w:rPr>
                <w:sz w:val="18"/>
              </w:rPr>
              <w:t>collection.postman_collection.json</w:t>
            </w:r>
          </w:p>
        </w:tc>
        <w:tc>
          <w:tcPr>
            <w:tcW w:type="dxa" w:w="1440"/>
            <w:vAlign w:val="center"/>
            <w:tcMar>
              <w:top w:w="110" w:type="dxa"/>
              <w:start w:w="120" w:type="dxa"/>
              <w:bottom w:w="110" w:type="dxa"/>
              <w:end w:w="120" w:type="dxa"/>
            </w:tcMar>
          </w:tcPr>
          <w:p>
            <w:pPr>
              <w:spacing w:after="0"/>
            </w:pPr>
            <w:r>
              <w:rPr>
                <w:sz w:val="18"/>
              </w:rPr>
              <w:t>Yes</w:t>
            </w:r>
          </w:p>
        </w:tc>
        <w:tc>
          <w:tcPr>
            <w:tcW w:type="dxa" w:w="3744"/>
            <w:vAlign w:val="center"/>
            <w:tcMar>
              <w:top w:w="110" w:type="dxa"/>
              <w:start w:w="120" w:type="dxa"/>
              <w:bottom w:w="110" w:type="dxa"/>
              <w:end w:w="120" w:type="dxa"/>
            </w:tcMar>
          </w:tcPr>
          <w:p>
            <w:pPr>
              <w:spacing w:after="0"/>
            </w:pPr>
            <w:r>
              <w:rPr>
                <w:sz w:val="18"/>
              </w:rPr>
              <w:t>Defines the API workflow.</w:t>
            </w:r>
          </w:p>
        </w:tc>
      </w:tr>
      <w:tr>
        <w:tc>
          <w:tcPr>
            <w:tcW w:type="dxa" w:w="3671"/>
            <w:vAlign w:val="center"/>
            <w:tcMar>
              <w:top w:w="110" w:type="dxa"/>
              <w:start w:w="120" w:type="dxa"/>
              <w:bottom w:w="110" w:type="dxa"/>
              <w:end w:w="120" w:type="dxa"/>
            </w:tcMar>
            <w:shd w:fill="F7F9FB"/>
          </w:tcPr>
          <w:p>
            <w:pPr>
              <w:spacing w:after="0"/>
            </w:pPr>
            <w:r>
              <w:rPr>
                <w:sz w:val="18"/>
              </w:rPr>
              <w:t>environment.template.json</w:t>
            </w:r>
          </w:p>
        </w:tc>
        <w:tc>
          <w:tcPr>
            <w:tcW w:type="dxa" w:w="1440"/>
            <w:vAlign w:val="center"/>
            <w:tcMar>
              <w:top w:w="110" w:type="dxa"/>
              <w:start w:w="120" w:type="dxa"/>
              <w:bottom w:w="110" w:type="dxa"/>
              <w:end w:w="120" w:type="dxa"/>
            </w:tcMar>
            <w:shd w:fill="F7F9FB"/>
          </w:tcPr>
          <w:p>
            <w:pPr>
              <w:spacing w:after="0"/>
            </w:pPr>
            <w:r>
              <w:rPr>
                <w:sz w:val="18"/>
              </w:rPr>
              <w:t>Yes</w:t>
            </w:r>
          </w:p>
        </w:tc>
        <w:tc>
          <w:tcPr>
            <w:tcW w:type="dxa" w:w="3744"/>
            <w:vAlign w:val="center"/>
            <w:tcMar>
              <w:top w:w="110" w:type="dxa"/>
              <w:start w:w="120" w:type="dxa"/>
              <w:bottom w:w="110" w:type="dxa"/>
              <w:end w:w="120" w:type="dxa"/>
            </w:tcMar>
            <w:shd w:fill="F7F9FB"/>
          </w:tcPr>
          <w:p>
            <w:pPr>
              <w:spacing w:after="0"/>
            </w:pPr>
            <w:r>
              <w:rPr>
                <w:sz w:val="18"/>
              </w:rPr>
              <w:t>Documents required variables with empty values.</w:t>
            </w:r>
          </w:p>
        </w:tc>
      </w:tr>
      <w:tr>
        <w:tc>
          <w:tcPr>
            <w:tcW w:type="dxa" w:w="3671"/>
            <w:vAlign w:val="center"/>
            <w:tcMar>
              <w:top w:w="110" w:type="dxa"/>
              <w:start w:w="120" w:type="dxa"/>
              <w:bottom w:w="110" w:type="dxa"/>
              <w:end w:w="120" w:type="dxa"/>
            </w:tcMar>
          </w:tcPr>
          <w:p>
            <w:pPr>
              <w:spacing w:after="0"/>
            </w:pPr>
            <w:r>
              <w:rPr>
                <w:sz w:val="18"/>
              </w:rPr>
              <w:t>environment.json with real credentials</w:t>
            </w:r>
          </w:p>
        </w:tc>
        <w:tc>
          <w:tcPr>
            <w:tcW w:type="dxa" w:w="1440"/>
            <w:vAlign w:val="center"/>
            <w:tcMar>
              <w:top w:w="110" w:type="dxa"/>
              <w:start w:w="120" w:type="dxa"/>
              <w:bottom w:w="110" w:type="dxa"/>
              <w:end w:w="120" w:type="dxa"/>
            </w:tcMar>
          </w:tcPr>
          <w:p>
            <w:pPr>
              <w:spacing w:after="0"/>
            </w:pPr>
            <w:r>
              <w:rPr>
                <w:sz w:val="18"/>
              </w:rPr>
              <w:t>No</w:t>
            </w:r>
          </w:p>
        </w:tc>
        <w:tc>
          <w:tcPr>
            <w:tcW w:type="dxa" w:w="3744"/>
            <w:vAlign w:val="center"/>
            <w:tcMar>
              <w:top w:w="110" w:type="dxa"/>
              <w:start w:w="120" w:type="dxa"/>
              <w:bottom w:w="110" w:type="dxa"/>
              <w:end w:w="120" w:type="dxa"/>
            </w:tcMar>
          </w:tcPr>
          <w:p>
            <w:pPr>
              <w:spacing w:after="0"/>
            </w:pPr>
            <w:r>
              <w:rPr>
                <w:sz w:val="18"/>
              </w:rPr>
              <w:t>Contains secrets.</w:t>
            </w:r>
          </w:p>
        </w:tc>
      </w:tr>
      <w:tr>
        <w:tc>
          <w:tcPr>
            <w:tcW w:type="dxa" w:w="3671"/>
            <w:vAlign w:val="center"/>
            <w:tcMar>
              <w:top w:w="110" w:type="dxa"/>
              <w:start w:w="120" w:type="dxa"/>
              <w:bottom w:w="110" w:type="dxa"/>
              <w:end w:w="120" w:type="dxa"/>
            </w:tcMar>
            <w:shd w:fill="F7F9FB"/>
          </w:tcPr>
          <w:p>
            <w:pPr>
              <w:spacing w:after="0"/>
            </w:pPr>
            <w:r>
              <w:rPr>
                <w:sz w:val="18"/>
              </w:rPr>
              <w:t>baseline.json and comparison.json</w:t>
            </w:r>
          </w:p>
        </w:tc>
        <w:tc>
          <w:tcPr>
            <w:tcW w:type="dxa" w:w="1440"/>
            <w:vAlign w:val="center"/>
            <w:tcMar>
              <w:top w:w="110" w:type="dxa"/>
              <w:start w:w="120" w:type="dxa"/>
              <w:bottom w:w="110" w:type="dxa"/>
              <w:end w:w="120" w:type="dxa"/>
            </w:tcMar>
            <w:shd w:fill="F7F9FB"/>
          </w:tcPr>
          <w:p>
            <w:pPr>
              <w:spacing w:after="0"/>
            </w:pPr>
            <w:r>
              <w:rPr>
                <w:sz w:val="18"/>
              </w:rPr>
              <w:t>Restricted</w:t>
            </w:r>
          </w:p>
        </w:tc>
        <w:tc>
          <w:tcPr>
            <w:tcW w:type="dxa" w:w="3744"/>
            <w:vAlign w:val="center"/>
            <w:tcMar>
              <w:top w:w="110" w:type="dxa"/>
              <w:start w:w="120" w:type="dxa"/>
              <w:bottom w:w="110" w:type="dxa"/>
              <w:end w:w="120" w:type="dxa"/>
            </w:tcMar>
            <w:shd w:fill="F7F9FB"/>
          </w:tcPr>
          <w:p>
            <w:pPr>
              <w:spacing w:after="0"/>
            </w:pPr>
            <w:r>
              <w:rPr>
                <w:sz w:val="18"/>
              </w:rPr>
              <w:t>Contain executed requests, responses and possibly credentials or personal data.</w:t>
            </w:r>
          </w:p>
        </w:tc>
      </w:tr>
      <w:tr>
        <w:tc>
          <w:tcPr>
            <w:tcW w:type="dxa" w:w="3671"/>
            <w:vAlign w:val="center"/>
            <w:tcMar>
              <w:top w:w="110" w:type="dxa"/>
              <w:start w:w="120" w:type="dxa"/>
              <w:bottom w:w="110" w:type="dxa"/>
              <w:end w:w="120" w:type="dxa"/>
            </w:tcMar>
          </w:tcPr>
          <w:p>
            <w:pPr>
              <w:spacing w:after="0"/>
            </w:pPr>
            <w:r>
              <w:rPr>
                <w:sz w:val="18"/>
              </w:rPr>
              <w:t>correlated.jmx</w:t>
            </w:r>
          </w:p>
        </w:tc>
        <w:tc>
          <w:tcPr>
            <w:tcW w:type="dxa" w:w="1440"/>
            <w:vAlign w:val="center"/>
            <w:tcMar>
              <w:top w:w="110" w:type="dxa"/>
              <w:start w:w="120" w:type="dxa"/>
              <w:bottom w:w="110" w:type="dxa"/>
              <w:end w:w="120" w:type="dxa"/>
            </w:tcMar>
          </w:tcPr>
          <w:p>
            <w:pPr>
              <w:spacing w:after="0"/>
            </w:pPr>
            <w:r>
              <w:rPr>
                <w:sz w:val="18"/>
              </w:rPr>
              <w:t>Yes when secrets are external</w:t>
            </w:r>
          </w:p>
        </w:tc>
        <w:tc>
          <w:tcPr>
            <w:tcW w:type="dxa" w:w="3744"/>
            <w:vAlign w:val="center"/>
            <w:tcMar>
              <w:top w:w="110" w:type="dxa"/>
              <w:start w:w="120" w:type="dxa"/>
              <w:bottom w:w="110" w:type="dxa"/>
              <w:end w:w="120" w:type="dxa"/>
            </w:tcMar>
          </w:tcPr>
          <w:p>
            <w:pPr>
              <w:spacing w:after="0"/>
            </w:pPr>
            <w:r>
              <w:rPr>
                <w:sz w:val="18"/>
              </w:rPr>
              <w:t>Runs the correlated JMeter workflow.</w:t>
            </w:r>
          </w:p>
        </w:tc>
      </w:tr>
      <w:tr>
        <w:tc>
          <w:tcPr>
            <w:tcW w:type="dxa" w:w="3671"/>
            <w:vAlign w:val="center"/>
            <w:tcMar>
              <w:top w:w="110" w:type="dxa"/>
              <w:start w:w="120" w:type="dxa"/>
              <w:bottom w:w="110" w:type="dxa"/>
              <w:end w:w="120" w:type="dxa"/>
            </w:tcMar>
            <w:shd w:fill="F7F9FB"/>
          </w:tcPr>
          <w:p>
            <w:pPr>
              <w:spacing w:after="0"/>
            </w:pPr>
            <w:r>
              <w:rPr>
                <w:sz w:val="18"/>
              </w:rPr>
              <w:t>manifest.json</w:t>
            </w:r>
          </w:p>
        </w:tc>
        <w:tc>
          <w:tcPr>
            <w:tcW w:type="dxa" w:w="1440"/>
            <w:vAlign w:val="center"/>
            <w:tcMar>
              <w:top w:w="110" w:type="dxa"/>
              <w:start w:w="120" w:type="dxa"/>
              <w:bottom w:w="110" w:type="dxa"/>
              <w:end w:w="120" w:type="dxa"/>
            </w:tcMar>
            <w:shd w:fill="F7F9FB"/>
          </w:tcPr>
          <w:p>
            <w:pPr>
              <w:spacing w:after="0"/>
            </w:pPr>
            <w:r>
              <w:rPr>
                <w:sz w:val="18"/>
              </w:rPr>
              <w:t>Yes</w:t>
            </w:r>
          </w:p>
        </w:tc>
        <w:tc>
          <w:tcPr>
            <w:tcW w:type="dxa" w:w="3744"/>
            <w:vAlign w:val="center"/>
            <w:tcMar>
              <w:top w:w="110" w:type="dxa"/>
              <w:start w:w="120" w:type="dxa"/>
              <w:bottom w:w="110" w:type="dxa"/>
              <w:end w:w="120" w:type="dxa"/>
            </w:tcMar>
            <w:shd w:fill="F7F9FB"/>
          </w:tcPr>
          <w:p>
            <w:pPr>
              <w:spacing w:after="0"/>
            </w:pPr>
            <w:r>
              <w:rPr>
                <w:sz w:val="18"/>
              </w:rPr>
              <w:t>Explains variables, extractors, consumers and required properties.</w:t>
            </w:r>
          </w:p>
        </w:tc>
      </w:tr>
      <w:tr>
        <w:tc>
          <w:tcPr>
            <w:tcW w:type="dxa" w:w="3671"/>
            <w:vAlign w:val="center"/>
            <w:tcMar>
              <w:top w:w="110" w:type="dxa"/>
              <w:start w:w="120" w:type="dxa"/>
              <w:bottom w:w="110" w:type="dxa"/>
              <w:end w:w="120" w:type="dxa"/>
            </w:tcMar>
          </w:tcPr>
          <w:p>
            <w:pPr>
              <w:spacing w:after="0"/>
            </w:pPr>
            <w:r>
              <w:rPr>
                <w:sz w:val="18"/>
              </w:rPr>
              <w:t>run-jmeter.ps1 template</w:t>
            </w:r>
          </w:p>
        </w:tc>
        <w:tc>
          <w:tcPr>
            <w:tcW w:type="dxa" w:w="1440"/>
            <w:vAlign w:val="center"/>
            <w:tcMar>
              <w:top w:w="110" w:type="dxa"/>
              <w:start w:w="120" w:type="dxa"/>
              <w:bottom w:w="110" w:type="dxa"/>
              <w:end w:w="120" w:type="dxa"/>
            </w:tcMar>
          </w:tcPr>
          <w:p>
            <w:pPr>
              <w:spacing w:after="0"/>
            </w:pPr>
            <w:r>
              <w:rPr>
                <w:sz w:val="18"/>
              </w:rPr>
              <w:t>Yes</w:t>
            </w:r>
          </w:p>
        </w:tc>
        <w:tc>
          <w:tcPr>
            <w:tcW w:type="dxa" w:w="3744"/>
            <w:vAlign w:val="center"/>
            <w:tcMar>
              <w:top w:w="110" w:type="dxa"/>
              <w:start w:w="120" w:type="dxa"/>
              <w:bottom w:w="110" w:type="dxa"/>
              <w:end w:w="120" w:type="dxa"/>
            </w:tcMar>
          </w:tcPr>
          <w:p>
            <w:pPr>
              <w:spacing w:after="0"/>
            </w:pPr>
            <w:r>
              <w:rPr>
                <w:sz w:val="18"/>
              </w:rPr>
              <w:t>Provides a repeatable runtime command without embedded secret values.</w:t>
            </w:r>
          </w:p>
        </w:tc>
      </w:tr>
    </w:tbl>
    <w:p>
      <w:pPr>
        <w:spacing w:after="0"/>
      </w:pPr>
    </w:p>
    <w:p>
      <w:pPr>
        <w:pStyle w:val="Heading2"/>
      </w:pPr>
      <w:r>
        <w:t>Suggested tester package</w:t>
      </w:r>
    </w:p>
    <w:p>
      <w:pPr>
        <w:spacing w:before="60" w:after="140" w:line="252" w:lineRule="auto"/>
        <w:ind w:left="360" w:right="216"/>
        <w:shd w:fill="F2F4F7"/>
      </w:pPr>
      <w:r>
        <w:rPr>
          <w:rFonts w:ascii="Consolas" w:hAnsi="Consolas"/>
          <w:sz w:val="16"/>
        </w:rPr>
        <w:t>tester-package/</w:t>
      </w:r>
      <w:r>
        <w:br/>
      </w:r>
      <w:r>
        <w:rPr>
          <w:rFonts w:ascii="Consolas" w:hAnsi="Consolas"/>
          <w:sz w:val="16"/>
        </w:rPr>
        <w:t xml:space="preserve">  collection.postman_collection.json</w:t>
      </w:r>
      <w:r>
        <w:br/>
      </w:r>
      <w:r>
        <w:rPr>
          <w:rFonts w:ascii="Consolas" w:hAnsi="Consolas"/>
          <w:sz w:val="16"/>
        </w:rPr>
        <w:t xml:space="preserve">  environment.template.json</w:t>
      </w:r>
      <w:r>
        <w:br/>
      </w:r>
      <w:r>
        <w:rPr>
          <w:rFonts w:ascii="Consolas" w:hAnsi="Consolas"/>
          <w:sz w:val="16"/>
        </w:rPr>
        <w:t xml:space="preserve">  correlated.jmx</w:t>
      </w:r>
      <w:r>
        <w:br/>
      </w:r>
      <w:r>
        <w:rPr>
          <w:rFonts w:ascii="Consolas" w:hAnsi="Consolas"/>
          <w:sz w:val="16"/>
        </w:rPr>
        <w:t xml:space="preserve">  manifest.json</w:t>
      </w:r>
      <w:r>
        <w:br/>
      </w:r>
      <w:r>
        <w:rPr>
          <w:rFonts w:ascii="Consolas" w:hAnsi="Consolas"/>
          <w:sz w:val="16"/>
        </w:rPr>
        <w:t xml:space="preserve">  run-jmeter.ps1</w:t>
      </w:r>
      <w:r>
        <w:br/>
      </w:r>
      <w:r>
        <w:rPr>
          <w:rFonts w:ascii="Consolas" w:hAnsi="Consolas"/>
          <w:sz w:val="16"/>
        </w:rPr>
        <w:t xml:space="preserve">  Baseline11_Auto_Correlation_Tester_Guide.docx</w:t>
      </w:r>
    </w:p>
    <w:p>
      <w:pPr>
        <w:pStyle w:val="Heading2"/>
      </w:pPr>
      <w:r>
        <w:t>Security rules</w:t>
      </w:r>
    </w:p>
    <w:p>
      <w:pPr>
        <w:pStyle w:val="ListBullet"/>
        <w:spacing w:after="40"/>
      </w:pPr>
      <w:r>
        <w:t>Never commit filled environment files, Authorization values or API secrets to source control.</w:t>
      </w:r>
    </w:p>
    <w:p>
      <w:pPr>
        <w:pStyle w:val="ListBullet"/>
        <w:spacing w:after="40"/>
      </w:pPr>
      <w:r>
        <w:t>Treat Newman reports as sensitive until request headers and bodies have been reviewed.</w:t>
      </w:r>
    </w:p>
    <w:p>
      <w:pPr>
        <w:pStyle w:val="ListBullet"/>
        <w:spacing w:after="40"/>
      </w:pPr>
      <w:r>
        <w:t>Keep Embed static secrets disabled for shared or production test plans.</w:t>
      </w:r>
    </w:p>
    <w:p>
      <w:pPr>
        <w:pStyle w:val="ListBullet"/>
        <w:spacing w:after="40"/>
      </w:pPr>
      <w:r>
        <w:t>Use test-mode credentials for demonstrations.</w:t>
      </w:r>
    </w:p>
    <w:p>
      <w:pPr>
        <w:pStyle w:val="ListBullet"/>
        <w:spacing w:after="40"/>
      </w:pPr>
      <w:r>
        <w:t>Rotate a key if it has been exposed in a screenshot, report, ticket or repository.</w:t>
      </w:r>
    </w:p>
    <w:p>
      <w:pPr>
        <w:pStyle w:val="Heading1"/>
      </w:pPr>
      <w:r>
        <w:t>9 Troubleshooting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304"/>
            <w:shd w:fill="17365D"/>
            <w:vAlign w:val="center"/>
            <w:tcMar>
              <w:top w:w="110" w:type="dxa"/>
              <w:start w:w="120" w:type="dxa"/>
              <w:bottom w:w="110" w:type="dxa"/>
              <w:end w:w="120" w:type="dxa"/>
            </w:tcMar>
          </w:tcPr>
          <w:p>
            <w:pPr>
              <w:jc w:val="center"/>
            </w:pPr>
            <w:r>
              <w:rPr>
                <w:b/>
                <w:color w:val="FFFFFF"/>
                <w:sz w:val="18"/>
              </w:rPr>
              <w:t>Symptom</w:t>
            </w:r>
          </w:p>
        </w:tc>
        <w:tc>
          <w:tcPr>
            <w:tcW w:type="dxa" w:w="3096"/>
            <w:shd w:fill="17365D"/>
            <w:vAlign w:val="center"/>
            <w:tcMar>
              <w:top w:w="110" w:type="dxa"/>
              <w:start w:w="120" w:type="dxa"/>
              <w:bottom w:w="110" w:type="dxa"/>
              <w:end w:w="120" w:type="dxa"/>
            </w:tcMar>
          </w:tcPr>
          <w:p>
            <w:pPr>
              <w:jc w:val="center"/>
            </w:pPr>
            <w:r>
              <w:rPr>
                <w:b/>
                <w:color w:val="FFFFFF"/>
                <w:sz w:val="18"/>
              </w:rPr>
              <w:t>Likely cause</w:t>
            </w:r>
          </w:p>
        </w:tc>
        <w:tc>
          <w:tcPr>
            <w:tcW w:type="dxa" w:w="3456"/>
            <w:shd w:fill="17365D"/>
            <w:vAlign w:val="center"/>
            <w:tcMar>
              <w:top w:w="110" w:type="dxa"/>
              <w:start w:w="120" w:type="dxa"/>
              <w:bottom w:w="110" w:type="dxa"/>
              <w:end w:w="120" w:type="dxa"/>
            </w:tcMar>
          </w:tcPr>
          <w:p>
            <w:pPr>
              <w:jc w:val="center"/>
            </w:pPr>
            <w:r>
              <w:rPr>
                <w:b/>
                <w:color w:val="FFFFFF"/>
                <w:sz w:val="18"/>
              </w:rPr>
              <w:t>Corrective action</w:t>
            </w:r>
          </w:p>
        </w:tc>
      </w:tr>
      <w:tr>
        <w:tc>
          <w:tcPr>
            <w:tcW w:type="dxa" w:w="2304"/>
            <w:vAlign w:val="center"/>
            <w:tcMar>
              <w:top w:w="110" w:type="dxa"/>
              <w:start w:w="120" w:type="dxa"/>
              <w:bottom w:w="110" w:type="dxa"/>
              <w:end w:w="120" w:type="dxa"/>
            </w:tcMar>
          </w:tcPr>
          <w:p>
            <w:pPr>
              <w:spacing w:after="0"/>
            </w:pPr>
            <w:r>
              <w:rPr>
                <w:sz w:val="18"/>
              </w:rPr>
              <w:t>401 Unauthorized in Newman</w:t>
            </w:r>
          </w:p>
        </w:tc>
        <w:tc>
          <w:tcPr>
            <w:tcW w:type="dxa" w:w="3096"/>
            <w:vAlign w:val="center"/>
            <w:tcMar>
              <w:top w:w="110" w:type="dxa"/>
              <w:start w:w="120" w:type="dxa"/>
              <w:bottom w:w="110" w:type="dxa"/>
              <w:end w:w="120" w:type="dxa"/>
            </w:tcMar>
          </w:tcPr>
          <w:p>
            <w:pPr>
              <w:spacing w:after="0"/>
            </w:pPr>
            <w:r>
              <w:rPr>
                <w:sz w:val="18"/>
              </w:rPr>
              <w:t>Environment values are empty, incorrect, or overridden by request-level auth.</w:t>
            </w:r>
          </w:p>
        </w:tc>
        <w:tc>
          <w:tcPr>
            <w:tcW w:type="dxa" w:w="3456"/>
            <w:vAlign w:val="center"/>
            <w:tcMar>
              <w:top w:w="110" w:type="dxa"/>
              <w:start w:w="120" w:type="dxa"/>
              <w:bottom w:w="110" w:type="dxa"/>
              <w:end w:w="120" w:type="dxa"/>
            </w:tcMar>
          </w:tcPr>
          <w:p>
            <w:pPr>
              <w:spacing w:after="0"/>
            </w:pPr>
            <w:r>
              <w:rPr>
                <w:sz w:val="18"/>
              </w:rPr>
              <w:t>Verify exact variable names and request-level Basic Auth settings, then export the environment again.</w:t>
            </w:r>
          </w:p>
        </w:tc>
      </w:tr>
      <w:tr>
        <w:tc>
          <w:tcPr>
            <w:tcW w:type="dxa" w:w="2304"/>
            <w:vAlign w:val="center"/>
            <w:tcMar>
              <w:top w:w="110" w:type="dxa"/>
              <w:start w:w="120" w:type="dxa"/>
              <w:bottom w:w="110" w:type="dxa"/>
              <w:end w:w="120" w:type="dxa"/>
            </w:tcMar>
            <w:shd w:fill="F7F9FB"/>
          </w:tcPr>
          <w:p>
            <w:pPr>
              <w:spacing w:after="0"/>
            </w:pPr>
            <w:r>
              <w:rPr>
                <w:sz w:val="18"/>
              </w:rPr>
              <w:t>URL contains null</w:t>
            </w:r>
          </w:p>
        </w:tc>
        <w:tc>
          <w:tcPr>
            <w:tcW w:type="dxa" w:w="3096"/>
            <w:vAlign w:val="center"/>
            <w:tcMar>
              <w:top w:w="110" w:type="dxa"/>
              <w:start w:w="120" w:type="dxa"/>
              <w:bottom w:w="110" w:type="dxa"/>
              <w:end w:w="120" w:type="dxa"/>
            </w:tcMar>
            <w:shd w:fill="F7F9FB"/>
          </w:tcPr>
          <w:p>
            <w:pPr>
              <w:spacing w:after="0"/>
            </w:pPr>
            <w:r>
              <w:rPr>
                <w:sz w:val="18"/>
              </w:rPr>
              <w:t>The producer failed or its Postman script did not set the variable.</w:t>
            </w:r>
          </w:p>
        </w:tc>
        <w:tc>
          <w:tcPr>
            <w:tcW w:type="dxa" w:w="3456"/>
            <w:vAlign w:val="center"/>
            <w:tcMar>
              <w:top w:w="110" w:type="dxa"/>
              <w:start w:w="120" w:type="dxa"/>
              <w:bottom w:w="110" w:type="dxa"/>
              <w:end w:w="120" w:type="dxa"/>
            </w:tcMar>
            <w:shd w:fill="F7F9FB"/>
          </w:tcPr>
          <w:p>
            <w:pPr>
              <w:spacing w:after="0"/>
            </w:pPr>
            <w:r>
              <w:rPr>
                <w:sz w:val="18"/>
              </w:rPr>
              <w:t>Fix the producer response and assertion before creating reports.</w:t>
            </w:r>
          </w:p>
        </w:tc>
      </w:tr>
      <w:tr>
        <w:tc>
          <w:tcPr>
            <w:tcW w:type="dxa" w:w="2304"/>
            <w:vAlign w:val="center"/>
            <w:tcMar>
              <w:top w:w="110" w:type="dxa"/>
              <w:start w:w="120" w:type="dxa"/>
              <w:bottom w:w="110" w:type="dxa"/>
              <w:end w:w="120" w:type="dxa"/>
            </w:tcMar>
          </w:tcPr>
          <w:p>
            <w:pPr>
              <w:spacing w:after="0"/>
            </w:pPr>
            <w:r>
              <w:rPr>
                <w:sz w:val="18"/>
              </w:rPr>
              <w:t>Literal {order_id} remains</w:t>
            </w:r>
          </w:p>
        </w:tc>
        <w:tc>
          <w:tcPr>
            <w:tcW w:type="dxa" w:w="3096"/>
            <w:vAlign w:val="center"/>
            <w:tcMar>
              <w:top w:w="110" w:type="dxa"/>
              <w:start w:w="120" w:type="dxa"/>
              <w:bottom w:w="110" w:type="dxa"/>
              <w:end w:w="120" w:type="dxa"/>
            </w:tcMar>
          </w:tcPr>
          <w:p>
            <w:pPr>
              <w:spacing w:after="0"/>
            </w:pPr>
            <w:r>
              <w:rPr>
                <w:sz w:val="18"/>
              </w:rPr>
              <w:t>The collection uses API-documentation braces instead of Postman syntax.</w:t>
            </w:r>
          </w:p>
        </w:tc>
        <w:tc>
          <w:tcPr>
            <w:tcW w:type="dxa" w:w="3456"/>
            <w:vAlign w:val="center"/>
            <w:tcMar>
              <w:top w:w="110" w:type="dxa"/>
              <w:start w:w="120" w:type="dxa"/>
              <w:bottom w:w="110" w:type="dxa"/>
              <w:end w:w="120" w:type="dxa"/>
            </w:tcMar>
          </w:tcPr>
          <w:p>
            <w:pPr>
              <w:spacing w:after="0"/>
            </w:pPr>
            <w:r>
              <w:rPr>
                <w:sz w:val="18"/>
              </w:rPr>
              <w:t>Use {{order_id}} in the Postman collection.</w:t>
            </w:r>
          </w:p>
        </w:tc>
      </w:tr>
      <w:tr>
        <w:tc>
          <w:tcPr>
            <w:tcW w:type="dxa" w:w="2304"/>
            <w:vAlign w:val="center"/>
            <w:tcMar>
              <w:top w:w="110" w:type="dxa"/>
              <w:start w:w="120" w:type="dxa"/>
              <w:bottom w:w="110" w:type="dxa"/>
              <w:end w:w="120" w:type="dxa"/>
            </w:tcMar>
            <w:shd w:fill="F7F9FB"/>
          </w:tcPr>
          <w:p>
            <w:pPr>
              <w:spacing w:after="0"/>
            </w:pPr>
            <w:r>
              <w:rPr>
                <w:sz w:val="18"/>
              </w:rPr>
              <w:t>No candidates</w:t>
            </w:r>
          </w:p>
        </w:tc>
        <w:tc>
          <w:tcPr>
            <w:tcW w:type="dxa" w:w="3096"/>
            <w:vAlign w:val="center"/>
            <w:tcMar>
              <w:top w:w="110" w:type="dxa"/>
              <w:start w:w="120" w:type="dxa"/>
              <w:bottom w:w="110" w:type="dxa"/>
              <w:end w:w="120" w:type="dxa"/>
            </w:tcMar>
            <w:shd w:fill="F7F9FB"/>
          </w:tcPr>
          <w:p>
            <w:pPr>
              <w:spacing w:after="0"/>
            </w:pPr>
            <w:r>
              <w:rPr>
                <w:sz w:val="18"/>
              </w:rPr>
              <w:t>Values did not change, were not reused, or runs are misaligned.</w:t>
            </w:r>
          </w:p>
        </w:tc>
        <w:tc>
          <w:tcPr>
            <w:tcW w:type="dxa" w:w="3456"/>
            <w:vAlign w:val="center"/>
            <w:tcMar>
              <w:top w:w="110" w:type="dxa"/>
              <w:start w:w="120" w:type="dxa"/>
              <w:bottom w:w="110" w:type="dxa"/>
              <w:end w:w="120" w:type="dxa"/>
            </w:tcMar>
            <w:shd w:fill="F7F9FB"/>
          </w:tcPr>
          <w:p>
            <w:pPr>
              <w:spacing w:after="0"/>
            </w:pPr>
            <w:r>
              <w:rPr>
                <w:sz w:val="18"/>
              </w:rPr>
              <w:t>Use two fresh successful runs and verify the downstream request contains the produced value.</w:t>
            </w:r>
          </w:p>
        </w:tc>
      </w:tr>
      <w:tr>
        <w:tc>
          <w:tcPr>
            <w:tcW w:type="dxa" w:w="2304"/>
            <w:vAlign w:val="center"/>
            <w:tcMar>
              <w:top w:w="110" w:type="dxa"/>
              <w:start w:w="120" w:type="dxa"/>
              <w:bottom w:w="110" w:type="dxa"/>
              <w:end w:w="120" w:type="dxa"/>
            </w:tcMar>
          </w:tcPr>
          <w:p>
            <w:pPr>
              <w:spacing w:after="0"/>
            </w:pPr>
            <w:r>
              <w:rPr>
                <w:sz w:val="18"/>
              </w:rPr>
              <w:t>Duplicate ID candidates</w:t>
            </w:r>
          </w:p>
        </w:tc>
        <w:tc>
          <w:tcPr>
            <w:tcW w:type="dxa" w:w="3096"/>
            <w:vAlign w:val="center"/>
            <w:tcMar>
              <w:top w:w="110" w:type="dxa"/>
              <w:start w:w="120" w:type="dxa"/>
              <w:bottom w:w="110" w:type="dxa"/>
              <w:end w:w="120" w:type="dxa"/>
            </w:tcMar>
          </w:tcPr>
          <w:p>
            <w:pPr>
              <w:spacing w:after="0"/>
            </w:pPr>
            <w:r>
              <w:rPr>
                <w:sz w:val="18"/>
              </w:rPr>
              <w:t>A later response echoes a value already produced earlier.</w:t>
            </w:r>
          </w:p>
        </w:tc>
        <w:tc>
          <w:tcPr>
            <w:tcW w:type="dxa" w:w="3456"/>
            <w:vAlign w:val="center"/>
            <w:tcMar>
              <w:top w:w="110" w:type="dxa"/>
              <w:start w:w="120" w:type="dxa"/>
              <w:bottom w:w="110" w:type="dxa"/>
              <w:end w:w="120" w:type="dxa"/>
            </w:tcMar>
          </w:tcPr>
          <w:p>
            <w:pPr>
              <w:spacing w:after="0"/>
            </w:pPr>
            <w:r>
              <w:rPr>
                <w:sz w:val="18"/>
              </w:rPr>
              <w:t>Use a current Baseline11 build; the earliest original producer should be retained.</w:t>
            </w:r>
          </w:p>
        </w:tc>
      </w:tr>
      <w:tr>
        <w:tc>
          <w:tcPr>
            <w:tcW w:type="dxa" w:w="2304"/>
            <w:vAlign w:val="center"/>
            <w:tcMar>
              <w:top w:w="110" w:type="dxa"/>
              <w:start w:w="120" w:type="dxa"/>
              <w:bottom w:w="110" w:type="dxa"/>
              <w:end w:w="120" w:type="dxa"/>
            </w:tcMar>
            <w:shd w:fill="F7F9FB"/>
          </w:tcPr>
          <w:p>
            <w:pPr>
              <w:spacing w:after="0"/>
            </w:pPr>
            <w:r>
              <w:rPr>
                <w:sz w:val="18"/>
              </w:rPr>
              <w:t>Ready with review</w:t>
            </w:r>
          </w:p>
        </w:tc>
        <w:tc>
          <w:tcPr>
            <w:tcW w:type="dxa" w:w="3096"/>
            <w:vAlign w:val="center"/>
            <w:tcMar>
              <w:top w:w="110" w:type="dxa"/>
              <w:start w:w="120" w:type="dxa"/>
              <w:bottom w:w="110" w:type="dxa"/>
              <w:end w:w="120" w:type="dxa"/>
            </w:tcMar>
            <w:shd w:fill="F7F9FB"/>
          </w:tcPr>
          <w:p>
            <w:pPr>
              <w:spacing w:after="0"/>
            </w:pPr>
            <w:r>
              <w:rPr>
                <w:sz w:val="18"/>
              </w:rPr>
              <w:t>A business heuristic detected an empty or error-like payload behind HTTP 2xx.</w:t>
            </w:r>
          </w:p>
        </w:tc>
        <w:tc>
          <w:tcPr>
            <w:tcW w:type="dxa" w:w="3456"/>
            <w:vAlign w:val="center"/>
            <w:tcMar>
              <w:top w:w="110" w:type="dxa"/>
              <w:start w:w="120" w:type="dxa"/>
              <w:bottom w:w="110" w:type="dxa"/>
              <w:end w:w="120" w:type="dxa"/>
            </w:tcMar>
            <w:shd w:fill="F7F9FB"/>
          </w:tcPr>
          <w:p>
            <w:pPr>
              <w:spacing w:after="0"/>
            </w:pPr>
            <w:r>
              <w:rPr>
                <w:sz w:val="18"/>
              </w:rPr>
              <w:t>Review the response. Continue when the empty result is valid for the scenario.</w:t>
            </w:r>
          </w:p>
        </w:tc>
      </w:tr>
      <w:tr>
        <w:tc>
          <w:tcPr>
            <w:tcW w:type="dxa" w:w="2304"/>
            <w:vAlign w:val="center"/>
            <w:tcMar>
              <w:top w:w="110" w:type="dxa"/>
              <w:start w:w="120" w:type="dxa"/>
              <w:bottom w:w="110" w:type="dxa"/>
              <w:end w:w="120" w:type="dxa"/>
            </w:tcMar>
          </w:tcPr>
          <w:p>
            <w:pPr>
              <w:spacing w:after="0"/>
            </w:pPr>
            <w:r>
              <w:rPr>
                <w:sz w:val="18"/>
              </w:rPr>
              <w:t>401 in downloaded JMX</w:t>
            </w:r>
          </w:p>
        </w:tc>
        <w:tc>
          <w:tcPr>
            <w:tcW w:type="dxa" w:w="3096"/>
            <w:vAlign w:val="center"/>
            <w:tcMar>
              <w:top w:w="110" w:type="dxa"/>
              <w:start w:w="120" w:type="dxa"/>
              <w:bottom w:w="110" w:type="dxa"/>
              <w:end w:w="120" w:type="dxa"/>
            </w:tcMar>
          </w:tcPr>
          <w:p>
            <w:pPr>
              <w:spacing w:after="0"/>
            </w:pPr>
            <w:r>
              <w:rPr>
                <w:sz w:val="18"/>
              </w:rPr>
              <w:t>The external Authorization JMeter property was not supplied.</w:t>
            </w:r>
          </w:p>
        </w:tc>
        <w:tc>
          <w:tcPr>
            <w:tcW w:type="dxa" w:w="3456"/>
            <w:vAlign w:val="center"/>
            <w:tcMar>
              <w:top w:w="110" w:type="dxa"/>
              <w:start w:w="120" w:type="dxa"/>
              <w:bottom w:w="110" w:type="dxa"/>
              <w:end w:w="120" w:type="dxa"/>
            </w:tcMar>
          </w:tcPr>
          <w:p>
            <w:pPr>
              <w:spacing w:after="0"/>
            </w:pPr>
            <w:r>
              <w:rPr>
                <w:sz w:val="18"/>
              </w:rPr>
              <w:t>Launch JMeter with -JAuthorization or provide the value in the validation form.</w:t>
            </w:r>
          </w:p>
        </w:tc>
      </w:tr>
      <w:tr>
        <w:tc>
          <w:tcPr>
            <w:tcW w:type="dxa" w:w="2304"/>
            <w:vAlign w:val="center"/>
            <w:tcMar>
              <w:top w:w="110" w:type="dxa"/>
              <w:start w:w="120" w:type="dxa"/>
              <w:bottom w:w="110" w:type="dxa"/>
              <w:end w:w="120" w:type="dxa"/>
            </w:tcMar>
            <w:shd w:fill="F7F9FB"/>
          </w:tcPr>
          <w:p>
            <w:pPr>
              <w:spacing w:after="0"/>
            </w:pPr>
            <w:r>
              <w:rPr>
                <w:sz w:val="18"/>
              </w:rPr>
              <w:t>Extractor returns __NOT_FOUND__</w:t>
            </w:r>
          </w:p>
        </w:tc>
        <w:tc>
          <w:tcPr>
            <w:tcW w:type="dxa" w:w="3096"/>
            <w:vAlign w:val="center"/>
            <w:tcMar>
              <w:top w:w="110" w:type="dxa"/>
              <w:start w:w="120" w:type="dxa"/>
              <w:bottom w:w="110" w:type="dxa"/>
              <w:end w:w="120" w:type="dxa"/>
            </w:tcMar>
            <w:shd w:fill="F7F9FB"/>
          </w:tcPr>
          <w:p>
            <w:pPr>
              <w:spacing w:after="0"/>
            </w:pPr>
            <w:r>
              <w:rPr>
                <w:sz w:val="18"/>
              </w:rPr>
              <w:t>The response path or response content differs at runtime.</w:t>
            </w:r>
          </w:p>
        </w:tc>
        <w:tc>
          <w:tcPr>
            <w:tcW w:type="dxa" w:w="3456"/>
            <w:vAlign w:val="center"/>
            <w:tcMar>
              <w:top w:w="110" w:type="dxa"/>
              <w:start w:w="120" w:type="dxa"/>
              <w:bottom w:w="110" w:type="dxa"/>
              <w:end w:w="120" w:type="dxa"/>
            </w:tcMar>
            <w:shd w:fill="F7F9FB"/>
          </w:tcPr>
          <w:p>
            <w:pPr>
              <w:spacing w:after="0"/>
            </w:pPr>
            <w:r>
              <w:rPr>
                <w:sz w:val="18"/>
              </w:rPr>
              <w:t>Inspect the producer response and verify the extractor expression and match number.</w:t>
            </w:r>
          </w:p>
        </w:tc>
      </w:tr>
      <w:tr>
        <w:tc>
          <w:tcPr>
            <w:tcW w:type="dxa" w:w="2304"/>
            <w:vAlign w:val="center"/>
            <w:tcMar>
              <w:top w:w="110" w:type="dxa"/>
              <w:start w:w="120" w:type="dxa"/>
              <w:bottom w:w="110" w:type="dxa"/>
              <w:end w:w="120" w:type="dxa"/>
            </w:tcMar>
          </w:tcPr>
          <w:p>
            <w:pPr>
              <w:spacing w:after="0"/>
            </w:pPr>
            <w:r>
              <w:rPr>
                <w:sz w:val="18"/>
              </w:rPr>
              <w:t>Generate shows 0</w:t>
            </w:r>
          </w:p>
        </w:tc>
        <w:tc>
          <w:tcPr>
            <w:tcW w:type="dxa" w:w="3096"/>
            <w:vAlign w:val="center"/>
            <w:tcMar>
              <w:top w:w="110" w:type="dxa"/>
              <w:start w:w="120" w:type="dxa"/>
              <w:bottom w:w="110" w:type="dxa"/>
              <w:end w:w="120" w:type="dxa"/>
            </w:tcMar>
          </w:tcPr>
          <w:p>
            <w:pPr>
              <w:spacing w:after="0"/>
            </w:pPr>
            <w:r>
              <w:rPr>
                <w:sz w:val="18"/>
              </w:rPr>
              <w:t>No candidate has been accepted.</w:t>
            </w:r>
          </w:p>
        </w:tc>
        <w:tc>
          <w:tcPr>
            <w:tcW w:type="dxa" w:w="3456"/>
            <w:vAlign w:val="center"/>
            <w:tcMar>
              <w:top w:w="110" w:type="dxa"/>
              <w:start w:w="120" w:type="dxa"/>
              <w:bottom w:w="110" w:type="dxa"/>
              <w:end w:w="120" w:type="dxa"/>
            </w:tcMar>
          </w:tcPr>
          <w:p>
            <w:pPr>
              <w:spacing w:after="0"/>
            </w:pPr>
            <w:r>
              <w:rPr>
                <w:sz w:val="18"/>
              </w:rPr>
              <w:t>Run automatic correlation or accept the reviewed candidate.</w:t>
            </w:r>
          </w:p>
        </w:tc>
      </w:tr>
    </w:tbl>
    <w:p>
      <w:pPr>
        <w:spacing w:after="0"/>
      </w:pPr>
    </w:p>
    <w:p>
      <w:r>
        <w:t>For failures of the collection run itself, see the code table in section 1.</w:t>
      </w:r>
    </w:p>
    <w:p>
      <w:pPr>
        <w:pStyle w:val="Heading2"/>
      </w:pPr>
      <w:r>
        <w:t>Tester completion checklist</w:t>
      </w:r>
    </w:p>
    <w:p>
      <w:pPr>
        <w:pStyle w:val="ListBullet"/>
        <w:spacing w:after="40"/>
      </w:pPr>
      <w:r>
        <w:t>[ ] Collection completes successfully (run in Baseline11, or twice in Newman for advanced mode).</w:t>
      </w:r>
    </w:p>
    <w:p>
      <w:pPr>
        <w:pStyle w:val="ListBullet"/>
        <w:spacing w:after="40"/>
      </w:pPr>
      <w:r>
        <w:t>[ ] Both runs came from the same collection, folder and starting values.</w:t>
      </w:r>
    </w:p>
    <w:p>
      <w:pPr>
        <w:pStyle w:val="ListBullet"/>
        <w:spacing w:after="40"/>
      </w:pPr>
      <w:r>
        <w:t>[ ] Run Health has no blocker.</w:t>
      </w:r>
    </w:p>
    <w:p>
      <w:pPr>
        <w:pStyle w:val="ListBullet"/>
        <w:spacing w:after="40"/>
      </w:pPr>
      <w:r>
        <w:t>[ ] Candidate producer and consumers match the intended business flow.</w:t>
      </w:r>
    </w:p>
    <w:p>
      <w:pPr>
        <w:pStyle w:val="ListBullet"/>
        <w:spacing w:after="40"/>
      </w:pPr>
      <w:r>
        <w:t>[ ] Automatic correlation completed once.</w:t>
      </w:r>
    </w:p>
    <w:p>
      <w:pPr>
        <w:pStyle w:val="ListBullet"/>
        <w:spacing w:after="40"/>
      </w:pPr>
      <w:r>
        <w:t>[ ] Dependency graph shows the expected edges.</w:t>
      </w:r>
    </w:p>
    <w:p>
      <w:pPr>
        <w:pStyle w:val="ListBullet"/>
        <w:spacing w:after="40"/>
      </w:pPr>
      <w:r>
        <w:t>[ ] Generated JMX passes structural validation.</w:t>
      </w:r>
    </w:p>
    <w:p>
      <w:pPr>
        <w:pStyle w:val="ListBullet"/>
        <w:spacing w:after="40"/>
      </w:pPr>
      <w:r>
        <w:t>[ ] JMeter execution succeeds with runtime properties.</w:t>
      </w:r>
    </w:p>
    <w:p>
      <w:pPr>
        <w:pStyle w:val="ListBullet"/>
        <w:spacing w:after="40"/>
      </w:pPr>
      <w:r>
        <w:t>[ ] Extracted variables have real values and are not __NOT_FOUND__.</w:t>
      </w:r>
    </w:p>
    <w:p>
      <w:pPr>
        <w:pStyle w:val="ListBullet"/>
        <w:spacing w:after="40"/>
      </w:pPr>
      <w:r>
        <w:t>[ ] No real credentials are included in the shared package.</w:t>
      </w:r>
    </w:p>
    <w:p>
      <w:pPr>
        <w:pStyle w:val="Heading2"/>
      </w:pPr>
      <w:r>
        <w:t>Glossary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76"/>
            <w:shd w:fill="17365D"/>
            <w:vAlign w:val="center"/>
            <w:tcMar>
              <w:top w:w="110" w:type="dxa"/>
              <w:start w:w="120" w:type="dxa"/>
              <w:bottom w:w="110" w:type="dxa"/>
              <w:end w:w="120" w:type="dxa"/>
            </w:tcMar>
          </w:tcPr>
          <w:p>
            <w:pPr>
              <w:jc w:val="center"/>
            </w:pPr>
            <w:r>
              <w:rPr>
                <w:b/>
                <w:color w:val="FFFFFF"/>
                <w:sz w:val="18"/>
              </w:rPr>
              <w:t>Term</w:t>
            </w:r>
          </w:p>
        </w:tc>
        <w:tc>
          <w:tcPr>
            <w:tcW w:type="dxa" w:w="6480"/>
            <w:shd w:fill="17365D"/>
            <w:vAlign w:val="center"/>
            <w:tcMar>
              <w:top w:w="110" w:type="dxa"/>
              <w:start w:w="120" w:type="dxa"/>
              <w:bottom w:w="110" w:type="dxa"/>
              <w:end w:w="120" w:type="dxa"/>
            </w:tcMar>
          </w:tcPr>
          <w:p>
            <w:pPr>
              <w:jc w:val="center"/>
            </w:pPr>
            <w:r>
              <w:rPr>
                <w:b/>
                <w:color w:val="FFFFFF"/>
                <w:sz w:val="18"/>
              </w:rPr>
              <w:t>Meaning</w:t>
            </w:r>
          </w:p>
        </w:tc>
      </w:tr>
      <w:tr>
        <w:tc>
          <w:tcPr>
            <w:tcW w:type="dxa" w:w="2376"/>
            <w:vAlign w:val="center"/>
            <w:tcMar>
              <w:top w:w="110" w:type="dxa"/>
              <w:start w:w="120" w:type="dxa"/>
              <w:bottom w:w="110" w:type="dxa"/>
              <w:end w:w="120" w:type="dxa"/>
            </w:tcMar>
          </w:tcPr>
          <w:p>
            <w:pPr>
              <w:spacing w:after="0"/>
            </w:pPr>
            <w:r>
              <w:rPr>
                <w:sz w:val="18"/>
              </w:rPr>
              <w:t>Producer</w:t>
            </w:r>
          </w:p>
        </w:tc>
        <w:tc>
          <w:tcPr>
            <w:tcW w:type="dxa" w:w="6480"/>
            <w:vAlign w:val="center"/>
            <w:tcMar>
              <w:top w:w="110" w:type="dxa"/>
              <w:start w:w="120" w:type="dxa"/>
              <w:bottom w:w="110" w:type="dxa"/>
              <w:end w:w="120" w:type="dxa"/>
            </w:tcMar>
          </w:tcPr>
          <w:p>
            <w:pPr>
              <w:spacing w:after="0"/>
            </w:pPr>
            <w:r>
              <w:rPr>
                <w:sz w:val="18"/>
              </w:rPr>
              <w:t>An earlier response that returns a dynamic value.</w:t>
            </w:r>
          </w:p>
        </w:tc>
      </w:tr>
      <w:tr>
        <w:tc>
          <w:tcPr>
            <w:tcW w:type="dxa" w:w="2376"/>
            <w:vAlign w:val="center"/>
            <w:tcMar>
              <w:top w:w="110" w:type="dxa"/>
              <w:start w:w="120" w:type="dxa"/>
              <w:bottom w:w="110" w:type="dxa"/>
              <w:end w:w="120" w:type="dxa"/>
            </w:tcMar>
            <w:shd w:fill="F7F9FB"/>
          </w:tcPr>
          <w:p>
            <w:pPr>
              <w:spacing w:after="0"/>
            </w:pPr>
            <w:r>
              <w:rPr>
                <w:sz w:val="18"/>
              </w:rPr>
              <w:t>Consumer</w:t>
            </w:r>
          </w:p>
        </w:tc>
        <w:tc>
          <w:tcPr>
            <w:tcW w:type="dxa" w:w="6480"/>
            <w:vAlign w:val="center"/>
            <w:tcMar>
              <w:top w:w="110" w:type="dxa"/>
              <w:start w:w="120" w:type="dxa"/>
              <w:bottom w:w="110" w:type="dxa"/>
              <w:end w:w="120" w:type="dxa"/>
            </w:tcMar>
            <w:shd w:fill="F7F9FB"/>
          </w:tcPr>
          <w:p>
            <w:pPr>
              <w:spacing w:after="0"/>
            </w:pPr>
            <w:r>
              <w:rPr>
                <w:sz w:val="18"/>
              </w:rPr>
              <w:t>A later request that reuses the produced value.</w:t>
            </w:r>
          </w:p>
        </w:tc>
      </w:tr>
      <w:tr>
        <w:tc>
          <w:tcPr>
            <w:tcW w:type="dxa" w:w="2376"/>
            <w:vAlign w:val="center"/>
            <w:tcMar>
              <w:top w:w="110" w:type="dxa"/>
              <w:start w:w="120" w:type="dxa"/>
              <w:bottom w:w="110" w:type="dxa"/>
              <w:end w:w="120" w:type="dxa"/>
            </w:tcMar>
          </w:tcPr>
          <w:p>
            <w:pPr>
              <w:spacing w:after="0"/>
            </w:pPr>
            <w:r>
              <w:rPr>
                <w:sz w:val="18"/>
              </w:rPr>
              <w:t>Correlation</w:t>
            </w:r>
          </w:p>
        </w:tc>
        <w:tc>
          <w:tcPr>
            <w:tcW w:type="dxa" w:w="6480"/>
            <w:vAlign w:val="center"/>
            <w:tcMar>
              <w:top w:w="110" w:type="dxa"/>
              <w:start w:w="120" w:type="dxa"/>
              <w:bottom w:w="110" w:type="dxa"/>
              <w:end w:w="120" w:type="dxa"/>
            </w:tcMar>
          </w:tcPr>
          <w:p>
            <w:pPr>
              <w:spacing w:after="0"/>
            </w:pPr>
            <w:r>
              <w:rPr>
                <w:sz w:val="18"/>
              </w:rPr>
              <w:t>Capturing a dynamic response value and substituting it into later requests.</w:t>
            </w:r>
          </w:p>
        </w:tc>
      </w:tr>
      <w:tr>
        <w:tc>
          <w:tcPr>
            <w:tcW w:type="dxa" w:w="2376"/>
            <w:vAlign w:val="center"/>
            <w:tcMar>
              <w:top w:w="110" w:type="dxa"/>
              <w:start w:w="120" w:type="dxa"/>
              <w:bottom w:w="110" w:type="dxa"/>
              <w:end w:w="120" w:type="dxa"/>
            </w:tcMar>
            <w:shd w:fill="F7F9FB"/>
          </w:tcPr>
          <w:p>
            <w:pPr>
              <w:spacing w:after="0"/>
            </w:pPr>
            <w:r>
              <w:rPr>
                <w:sz w:val="18"/>
              </w:rPr>
              <w:t>Extractor</w:t>
            </w:r>
          </w:p>
        </w:tc>
        <w:tc>
          <w:tcPr>
            <w:tcW w:type="dxa" w:w="6480"/>
            <w:vAlign w:val="center"/>
            <w:tcMar>
              <w:top w:w="110" w:type="dxa"/>
              <w:start w:w="120" w:type="dxa"/>
              <w:bottom w:w="110" w:type="dxa"/>
              <w:end w:w="120" w:type="dxa"/>
            </w:tcMar>
            <w:shd w:fill="F7F9FB"/>
          </w:tcPr>
          <w:p>
            <w:pPr>
              <w:spacing w:after="0"/>
            </w:pPr>
            <w:r>
              <w:rPr>
                <w:sz w:val="18"/>
              </w:rPr>
              <w:t>A JMeter post-processor that reads a value from a response.</w:t>
            </w:r>
          </w:p>
        </w:tc>
      </w:tr>
      <w:tr>
        <w:tc>
          <w:tcPr>
            <w:tcW w:type="dxa" w:w="2376"/>
            <w:vAlign w:val="center"/>
            <w:tcMar>
              <w:top w:w="110" w:type="dxa"/>
              <w:start w:w="120" w:type="dxa"/>
              <w:bottom w:w="110" w:type="dxa"/>
              <w:end w:w="120" w:type="dxa"/>
            </w:tcMar>
          </w:tcPr>
          <w:p>
            <w:pPr>
              <w:spacing w:after="0"/>
            </w:pPr>
            <w:r>
              <w:rPr>
                <w:sz w:val="18"/>
              </w:rPr>
              <w:t>Parameterization</w:t>
            </w:r>
          </w:p>
        </w:tc>
        <w:tc>
          <w:tcPr>
            <w:tcW w:type="dxa" w:w="6480"/>
            <w:vAlign w:val="center"/>
            <w:tcMar>
              <w:top w:w="110" w:type="dxa"/>
              <w:start w:w="120" w:type="dxa"/>
              <w:bottom w:w="110" w:type="dxa"/>
              <w:end w:w="120" w:type="dxa"/>
            </w:tcMar>
          </w:tcPr>
          <w:p>
            <w:pPr>
              <w:spacing w:after="0"/>
            </w:pPr>
            <w:r>
              <w:rPr>
                <w:sz w:val="18"/>
              </w:rPr>
              <w:t>Supplying user or environment input that has no response producer.</w:t>
            </w:r>
          </w:p>
        </w:tc>
      </w:tr>
      <w:tr>
        <w:tc>
          <w:tcPr>
            <w:tcW w:type="dxa" w:w="2376"/>
            <w:vAlign w:val="center"/>
            <w:tcMar>
              <w:top w:w="110" w:type="dxa"/>
              <w:start w:w="120" w:type="dxa"/>
              <w:bottom w:w="110" w:type="dxa"/>
              <w:end w:w="120" w:type="dxa"/>
            </w:tcMar>
            <w:shd w:fill="F7F9FB"/>
          </w:tcPr>
          <w:p>
            <w:pPr>
              <w:spacing w:after="0"/>
            </w:pPr>
            <w:r>
              <w:rPr>
                <w:sz w:val="18"/>
              </w:rPr>
              <w:t>JMeter property</w:t>
            </w:r>
          </w:p>
        </w:tc>
        <w:tc>
          <w:tcPr>
            <w:tcW w:type="dxa" w:w="6480"/>
            <w:vAlign w:val="center"/>
            <w:tcMar>
              <w:top w:w="110" w:type="dxa"/>
              <w:start w:w="120" w:type="dxa"/>
              <w:bottom w:w="110" w:type="dxa"/>
              <w:end w:w="120" w:type="dxa"/>
            </w:tcMar>
            <w:shd w:fill="F7F9FB"/>
          </w:tcPr>
          <w:p>
            <w:pPr>
              <w:spacing w:after="0"/>
            </w:pPr>
            <w:r>
              <w:rPr>
                <w:sz w:val="18"/>
              </w:rPr>
              <w:t>A runtime value accessed with ${__P(name,)} and normally passed with -Jname=value.</w:t>
            </w:r>
          </w:p>
        </w:tc>
      </w:tr>
      <w:tr>
        <w:tc>
          <w:tcPr>
            <w:tcW w:type="dxa" w:w="2376"/>
            <w:vAlign w:val="center"/>
            <w:tcMar>
              <w:top w:w="110" w:type="dxa"/>
              <w:start w:w="120" w:type="dxa"/>
              <w:bottom w:w="110" w:type="dxa"/>
              <w:end w:w="120" w:type="dxa"/>
            </w:tcMar>
          </w:tcPr>
          <w:p>
            <w:pPr>
              <w:spacing w:after="0"/>
            </w:pPr>
            <w:r>
              <w:rPr>
                <w:sz w:val="18"/>
              </w:rPr>
              <w:t>Generated JMX</w:t>
            </w:r>
          </w:p>
        </w:tc>
        <w:tc>
          <w:tcPr>
            <w:tcW w:type="dxa" w:w="6480"/>
            <w:vAlign w:val="center"/>
            <w:tcMar>
              <w:top w:w="110" w:type="dxa"/>
              <w:start w:w="120" w:type="dxa"/>
              <w:bottom w:w="110" w:type="dxa"/>
              <w:end w:w="120" w:type="dxa"/>
            </w:tcMar>
          </w:tcPr>
          <w:p>
            <w:pPr>
              <w:spacing w:after="0"/>
            </w:pPr>
            <w:r>
              <w:rPr>
                <w:sz w:val="18"/>
              </w:rPr>
              <w:t>A structurally valid plan that has not necessarily executed successfully.</w:t>
            </w:r>
          </w:p>
        </w:tc>
      </w:tr>
      <w:tr>
        <w:tc>
          <w:tcPr>
            <w:tcW w:type="dxa" w:w="2376"/>
            <w:vAlign w:val="center"/>
            <w:tcMar>
              <w:top w:w="110" w:type="dxa"/>
              <w:start w:w="120" w:type="dxa"/>
              <w:bottom w:w="110" w:type="dxa"/>
              <w:end w:w="120" w:type="dxa"/>
            </w:tcMar>
            <w:shd w:fill="F7F9FB"/>
          </w:tcPr>
          <w:p>
            <w:pPr>
              <w:spacing w:after="0"/>
            </w:pPr>
            <w:r>
              <w:rPr>
                <w:sz w:val="18"/>
              </w:rPr>
              <w:t>Validated JMX</w:t>
            </w:r>
          </w:p>
        </w:tc>
        <w:tc>
          <w:tcPr>
            <w:tcW w:type="dxa" w:w="6480"/>
            <w:vAlign w:val="center"/>
            <w:tcMar>
              <w:top w:w="110" w:type="dxa"/>
              <w:start w:w="120" w:type="dxa"/>
              <w:bottom w:w="110" w:type="dxa"/>
              <w:end w:w="120" w:type="dxa"/>
            </w:tcMar>
            <w:shd w:fill="F7F9FB"/>
          </w:tcPr>
          <w:p>
            <w:pPr>
              <w:spacing w:after="0"/>
            </w:pPr>
            <w:r>
              <w:rPr>
                <w:sz w:val="18"/>
              </w:rPr>
              <w:t>A generated plan that Apache JMeter executed within the configured success threshold.</w:t>
            </w:r>
          </w:p>
        </w:tc>
      </w:tr>
    </w:tbl>
    <w:p>
      <w:pPr>
        <w:spacing w:after="0"/>
      </w:pPr>
    </w:p>
    <w:p/>
    <w:p>
      <w:pPr>
        <w:jc w:val="center"/>
      </w:pPr>
      <w:r>
        <w:rPr>
          <w:b/>
          <w:color w:val="555555"/>
        </w:rPr>
        <w:t>End of tester guide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32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