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where ground truth is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single opening (Qwen2.5-32B, 0.62) tracks lineage, not scale.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diverge, and the divergence is the sharpest fact in the map. Qwen3-32B saturates the other way entirely: yes-rate 1.000 on injected, random and clean alike, with self-vs-clean at 0.29, below chance. Qwen2.5-32B-Instruct, the lineage of the published enhanced-prompting positive (Vogel 2025), shows the map’s single opening: self-vs-random 0.622 [0.556, 0.677] at the low dose, the only cell anywhere whose interval excludes chance, and it passes the pre-registered gate (0.62). Even there: recovery R = 0.23, content at floor (which-concept 0.000), and no privileged access (Δ(self − O1) = −0.03 [−0.12, +0.06]). Same parameter count, opposite behaviour: what opens the reporting channel is lineage and post-training, not scale.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A seed-replication of</w:t>
      </w:r>
      <w:r>
        <w:t xml:space="preserve"> </w:t>
      </w:r>
      <w:r>
        <w:t xml:space="preserve">the Qwen2.5-32B opening was already running at submission time; its result,</w:t>
      </w:r>
      <w:r>
        <w:t xml:space="preserve"> </w:t>
      </w:r>
      <w:r>
        <w:t xml:space="preserve">either way, is posted to the repository. The cell sits in the lineage of the</w:t>
      </w:r>
      <w:r>
        <w:t xml:space="preserve"> </w:t>
      </w:r>
      <w:r>
        <w:t xml:space="preserve">strongest published positive, which is exactly where an opening should first</w:t>
      </w:r>
      <w:r>
        <w:t xml:space="preserve"> </w:t>
      </w:r>
      <w:r>
        <w:t xml:space="preserve">appear.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2026-08-17T08:27:50Z</dcterms:created>
  <dcterms:modified xsi:type="dcterms:W3CDTF">2026-08-17T08:27:50Z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