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D7FA3" w14:textId="77777777" w:rsidR="008572DB" w:rsidRPr="008572DB" w:rsidRDefault="008572DB" w:rsidP="008572DB">
      <w:pPr>
        <w:rPr>
          <w:b/>
          <w:bCs/>
        </w:rPr>
      </w:pPr>
      <w:r w:rsidRPr="008572DB">
        <w:rPr>
          <w:b/>
          <w:bCs/>
        </w:rPr>
        <w:t>1. Hire &amp; Keep the Best Dealmakers</w:t>
      </w:r>
    </w:p>
    <w:p w14:paraId="12C66C9B" w14:textId="77777777" w:rsidR="008572DB" w:rsidRPr="008572DB" w:rsidRDefault="008572DB" w:rsidP="008572DB">
      <w:pPr>
        <w:numPr>
          <w:ilvl w:val="0"/>
          <w:numId w:val="10"/>
        </w:numPr>
      </w:pPr>
      <w:r w:rsidRPr="008572DB">
        <w:rPr>
          <w:b/>
          <w:bCs/>
        </w:rPr>
        <w:t>What it means:</w:t>
      </w:r>
      <w:r w:rsidRPr="008572DB">
        <w:t xml:space="preserve"> Pay and promote your top bankers so they stay, and recruit senior experts from rivals in the exact industries you’re missing (e.g. biotech, SaaS, packaging).</w:t>
      </w:r>
    </w:p>
    <w:p w14:paraId="6141285C" w14:textId="77777777" w:rsidR="008572DB" w:rsidRPr="008572DB" w:rsidRDefault="008572DB" w:rsidP="008572DB">
      <w:pPr>
        <w:numPr>
          <w:ilvl w:val="0"/>
          <w:numId w:val="10"/>
        </w:numPr>
      </w:pPr>
      <w:r w:rsidRPr="008572DB">
        <w:rPr>
          <w:b/>
          <w:bCs/>
        </w:rPr>
        <w:t>Why we need it:</w:t>
      </w:r>
      <w:r w:rsidRPr="008572DB">
        <w:t xml:space="preserve"> We’ve lost senior leaders (like Andy Lipsky in tech, Philip Ross in healthcare) and our teams are leaking analysts to boutiques that pay more. Without these experts, we aren’t invited to pitch the biggest deals.</w:t>
      </w:r>
    </w:p>
    <w:p w14:paraId="1BB63827" w14:textId="77777777" w:rsidR="008572DB" w:rsidRPr="008572DB" w:rsidRDefault="008572DB" w:rsidP="008572DB">
      <w:pPr>
        <w:numPr>
          <w:ilvl w:val="0"/>
          <w:numId w:val="10"/>
        </w:numPr>
      </w:pPr>
      <w:r w:rsidRPr="008572DB">
        <w:rPr>
          <w:b/>
          <w:bCs/>
        </w:rPr>
        <w:t>How it helps:</w:t>
      </w:r>
    </w:p>
    <w:p w14:paraId="3894E4C5" w14:textId="77777777" w:rsidR="008572DB" w:rsidRPr="008572DB" w:rsidRDefault="008572DB" w:rsidP="008572DB">
      <w:pPr>
        <w:numPr>
          <w:ilvl w:val="1"/>
          <w:numId w:val="10"/>
        </w:numPr>
      </w:pPr>
      <w:r w:rsidRPr="008572DB">
        <w:rPr>
          <w:b/>
          <w:bCs/>
        </w:rPr>
        <w:t>More Pitches:</w:t>
      </w:r>
      <w:r w:rsidRPr="008572DB">
        <w:t xml:space="preserve"> Clients call the bank with the known names they trust.</w:t>
      </w:r>
    </w:p>
    <w:p w14:paraId="431920AC" w14:textId="77777777" w:rsidR="008572DB" w:rsidRPr="008572DB" w:rsidRDefault="008572DB" w:rsidP="008572DB">
      <w:pPr>
        <w:numPr>
          <w:ilvl w:val="1"/>
          <w:numId w:val="10"/>
        </w:numPr>
      </w:pPr>
      <w:r w:rsidRPr="008572DB">
        <w:rPr>
          <w:b/>
          <w:bCs/>
        </w:rPr>
        <w:t>Higher Win Rates:</w:t>
      </w:r>
      <w:r w:rsidRPr="008572DB">
        <w:t xml:space="preserve"> Stable, specialized teams win 10–15% more mandates, because clients won’t hire an inexperienced bench.</w:t>
      </w:r>
    </w:p>
    <w:p w14:paraId="3B22E7DB" w14:textId="77777777" w:rsidR="008572DB" w:rsidRPr="008572DB" w:rsidRDefault="008572DB" w:rsidP="00752642"/>
    <w:p w14:paraId="4C472CE7" w14:textId="77777777" w:rsidR="008572DB" w:rsidRDefault="008572DB" w:rsidP="00752642">
      <w:pPr>
        <w:rPr>
          <w:b/>
          <w:bCs/>
        </w:rPr>
      </w:pPr>
    </w:p>
    <w:p w14:paraId="1C36FB3B" w14:textId="45258AB5" w:rsidR="00752642" w:rsidRPr="00752642" w:rsidRDefault="00752642" w:rsidP="00752642">
      <w:pPr>
        <w:rPr>
          <w:b/>
          <w:bCs/>
        </w:rPr>
      </w:pPr>
      <w:r w:rsidRPr="00752642">
        <w:rPr>
          <w:b/>
          <w:bCs/>
        </w:rPr>
        <w:t>3. GenAI-Powered Predictive Deal Origination</w:t>
      </w:r>
    </w:p>
    <w:p w14:paraId="0450BAF6" w14:textId="77777777" w:rsidR="00752642" w:rsidRPr="00752642" w:rsidRDefault="00752642" w:rsidP="00752642">
      <w:r w:rsidRPr="00752642">
        <w:rPr>
          <w:b/>
          <w:bCs/>
        </w:rPr>
        <w:t>Sub-points:</w:t>
      </w:r>
      <w:r w:rsidRPr="00752642">
        <w:br/>
        <w:t>• AI-Powered Analysis</w:t>
      </w:r>
      <w:r w:rsidRPr="00752642">
        <w:br/>
        <w:t>• Proactive Engagement</w:t>
      </w:r>
    </w:p>
    <w:p w14:paraId="28212F82" w14:textId="77777777" w:rsidR="00752642" w:rsidRPr="00752642" w:rsidRDefault="00752642" w:rsidP="00752642">
      <w:pPr>
        <w:rPr>
          <w:b/>
          <w:bCs/>
        </w:rPr>
      </w:pPr>
      <w:r w:rsidRPr="00752642">
        <w:rPr>
          <w:b/>
          <w:bCs/>
        </w:rPr>
        <w:t>Why It Matters</w:t>
      </w:r>
    </w:p>
    <w:p w14:paraId="1C285449" w14:textId="77777777" w:rsidR="00752642" w:rsidRPr="00752642" w:rsidRDefault="00752642" w:rsidP="00752642">
      <w:pPr>
        <w:numPr>
          <w:ilvl w:val="0"/>
          <w:numId w:val="1"/>
        </w:numPr>
        <w:rPr>
          <w:highlight w:val="yellow"/>
        </w:rPr>
      </w:pPr>
      <w:r w:rsidRPr="00752642">
        <w:rPr>
          <w:b/>
          <w:bCs/>
        </w:rPr>
        <w:t>Reactive Pipeline</w:t>
      </w:r>
      <w:r w:rsidRPr="00752642">
        <w:rPr>
          <w:b/>
          <w:bCs/>
          <w:highlight w:val="yellow"/>
        </w:rPr>
        <w:t>:</w:t>
      </w:r>
      <w:r w:rsidRPr="00752642">
        <w:rPr>
          <w:highlight w:val="yellow"/>
        </w:rPr>
        <w:t xml:space="preserve"> Currently, JPM often waits for client mandates. Our analysis of missed Tech deals (Slack, Activision) showed boutiques seeded the process 6–9 months in advance via targeted outreach.</w:t>
      </w:r>
    </w:p>
    <w:p w14:paraId="523647FD" w14:textId="77777777" w:rsidR="00752642" w:rsidRPr="00752642" w:rsidRDefault="00752642" w:rsidP="00752642">
      <w:pPr>
        <w:numPr>
          <w:ilvl w:val="0"/>
          <w:numId w:val="1"/>
        </w:numPr>
      </w:pPr>
      <w:r w:rsidRPr="00752642">
        <w:rPr>
          <w:b/>
          <w:bCs/>
        </w:rPr>
        <w:t>Data Blind Spots:</w:t>
      </w:r>
      <w:r w:rsidRPr="00752642">
        <w:t xml:space="preserve"> We lack systematic scanning of leading indicators—patent clusters, venture funding shifts, exec hires—that predict M&amp;A needs.</w:t>
      </w:r>
    </w:p>
    <w:p w14:paraId="07749C17" w14:textId="77777777" w:rsidR="00752642" w:rsidRPr="00752642" w:rsidRDefault="00752642" w:rsidP="00752642">
      <w:pPr>
        <w:rPr>
          <w:b/>
          <w:bCs/>
        </w:rPr>
      </w:pPr>
      <w:r w:rsidRPr="00752642">
        <w:rPr>
          <w:b/>
          <w:bCs/>
        </w:rPr>
        <w:t>How This Fixes the Gap</w:t>
      </w:r>
    </w:p>
    <w:p w14:paraId="1F94D667" w14:textId="77777777" w:rsidR="00752642" w:rsidRPr="00752642" w:rsidRDefault="00752642" w:rsidP="00752642">
      <w:pPr>
        <w:numPr>
          <w:ilvl w:val="0"/>
          <w:numId w:val="2"/>
        </w:numPr>
      </w:pPr>
      <w:r w:rsidRPr="00752642">
        <w:rPr>
          <w:b/>
          <w:bCs/>
        </w:rPr>
        <w:t>Build “</w:t>
      </w:r>
      <w:proofErr w:type="spellStart"/>
      <w:r w:rsidRPr="00752642">
        <w:rPr>
          <w:b/>
          <w:bCs/>
        </w:rPr>
        <w:t>DealSignal</w:t>
      </w:r>
      <w:proofErr w:type="spellEnd"/>
      <w:r w:rsidRPr="00752642">
        <w:rPr>
          <w:b/>
          <w:bCs/>
        </w:rPr>
        <w:t>” AI Engine</w:t>
      </w:r>
    </w:p>
    <w:p w14:paraId="2BF2022A" w14:textId="4A2D2199" w:rsidR="00752642" w:rsidRPr="00752642" w:rsidRDefault="00752642" w:rsidP="00752642">
      <w:pPr>
        <w:numPr>
          <w:ilvl w:val="1"/>
          <w:numId w:val="2"/>
        </w:numPr>
      </w:pPr>
      <w:r w:rsidRPr="00752642">
        <w:rPr>
          <w:b/>
          <w:bCs/>
        </w:rPr>
        <w:t>Action:</w:t>
      </w:r>
      <w:r w:rsidRPr="00752642">
        <w:t xml:space="preserve"> Integrate public and proprietary data </w:t>
      </w:r>
      <w:r w:rsidRPr="00752642">
        <w:rPr>
          <w:highlight w:val="yellow"/>
        </w:rPr>
        <w:t>(patent filings, clinical trial transitions, VC rounds, key hires)</w:t>
      </w:r>
      <w:r w:rsidRPr="00752642">
        <w:t xml:space="preserve"> into a GenAI model that ranks 200+ clients monthly by “deal readiness” score.</w:t>
      </w:r>
      <w:r>
        <w:t xml:space="preserve"> </w:t>
      </w:r>
    </w:p>
    <w:p w14:paraId="7E49C970" w14:textId="77777777" w:rsidR="00752642" w:rsidRPr="00752642" w:rsidRDefault="00752642" w:rsidP="00752642">
      <w:pPr>
        <w:numPr>
          <w:ilvl w:val="1"/>
          <w:numId w:val="2"/>
        </w:numPr>
      </w:pPr>
      <w:r w:rsidRPr="00752642">
        <w:rPr>
          <w:b/>
          <w:bCs/>
        </w:rPr>
        <w:t>Impact:</w:t>
      </w:r>
      <w:r w:rsidRPr="00752642">
        <w:t xml:space="preserve"> Provides bankers with </w:t>
      </w:r>
      <w:r w:rsidRPr="00752642">
        <w:rPr>
          <w:b/>
          <w:bCs/>
        </w:rPr>
        <w:t>30–50</w:t>
      </w:r>
      <w:r w:rsidRPr="00752642">
        <w:t xml:space="preserve"> high-confidence leads each quarter, boosting proactive pitches by </w:t>
      </w:r>
      <w:r w:rsidRPr="00752642">
        <w:rPr>
          <w:b/>
          <w:bCs/>
        </w:rPr>
        <w:t>40%</w:t>
      </w:r>
      <w:r w:rsidRPr="00752642">
        <w:t xml:space="preserve"> and increasing mandates by </w:t>
      </w:r>
      <w:r w:rsidRPr="00752642">
        <w:rPr>
          <w:b/>
          <w:bCs/>
        </w:rPr>
        <w:t>15–20%</w:t>
      </w:r>
      <w:r w:rsidRPr="00752642">
        <w:t xml:space="preserve"> (McKinsey finds proactive AI origination lifts win-rates by up to 30%).</w:t>
      </w:r>
    </w:p>
    <w:p w14:paraId="6FC1D920" w14:textId="77777777" w:rsidR="00752642" w:rsidRPr="00752642" w:rsidRDefault="00752642" w:rsidP="00752642">
      <w:pPr>
        <w:numPr>
          <w:ilvl w:val="0"/>
          <w:numId w:val="2"/>
        </w:numPr>
      </w:pPr>
      <w:r w:rsidRPr="00752642">
        <w:rPr>
          <w:b/>
          <w:bCs/>
        </w:rPr>
        <w:t>Embed in CRM Workflows</w:t>
      </w:r>
    </w:p>
    <w:p w14:paraId="7AB3A22C" w14:textId="77777777" w:rsidR="00752642" w:rsidRPr="00752642" w:rsidRDefault="00752642" w:rsidP="00752642">
      <w:pPr>
        <w:numPr>
          <w:ilvl w:val="1"/>
          <w:numId w:val="2"/>
        </w:numPr>
      </w:pPr>
      <w:r w:rsidRPr="00752642">
        <w:rPr>
          <w:b/>
          <w:bCs/>
        </w:rPr>
        <w:t>Action:</w:t>
      </w:r>
      <w:r w:rsidRPr="00752642">
        <w:t xml:space="preserve"> Alerts appear in JPM’s existing CRM, so Relationship Managers see “</w:t>
      </w:r>
      <w:r w:rsidRPr="00752642">
        <w:rPr>
          <w:highlight w:val="yellow"/>
        </w:rPr>
        <w:t>Client X: patent + CEO hire + PE mooted → 85% likelihood of M&amp;A in 6 months</w:t>
      </w:r>
      <w:r w:rsidRPr="00752642">
        <w:t>.”</w:t>
      </w:r>
    </w:p>
    <w:p w14:paraId="5861746F" w14:textId="77777777" w:rsidR="00752642" w:rsidRPr="00752642" w:rsidRDefault="00752642" w:rsidP="00752642">
      <w:pPr>
        <w:numPr>
          <w:ilvl w:val="1"/>
          <w:numId w:val="2"/>
        </w:numPr>
      </w:pPr>
      <w:r w:rsidRPr="00752642">
        <w:rPr>
          <w:b/>
          <w:bCs/>
        </w:rPr>
        <w:t>Impact:</w:t>
      </w:r>
      <w:r w:rsidRPr="00752642">
        <w:t xml:space="preserve"> Seamless integration ensures adoption—expected to double proactive engagement activities in target sectors.</w:t>
      </w:r>
    </w:p>
    <w:p w14:paraId="2DBCA94E" w14:textId="77777777" w:rsidR="00752642" w:rsidRPr="00752642" w:rsidRDefault="00752642" w:rsidP="00752642">
      <w:pPr>
        <w:numPr>
          <w:ilvl w:val="0"/>
          <w:numId w:val="2"/>
        </w:numPr>
      </w:pPr>
      <w:r w:rsidRPr="00752642">
        <w:rPr>
          <w:b/>
          <w:bCs/>
        </w:rPr>
        <w:t>Dedicated Response Squads</w:t>
      </w:r>
    </w:p>
    <w:p w14:paraId="39B7ED27" w14:textId="77777777" w:rsidR="00752642" w:rsidRPr="00752642" w:rsidRDefault="00752642" w:rsidP="00752642">
      <w:pPr>
        <w:numPr>
          <w:ilvl w:val="1"/>
          <w:numId w:val="2"/>
        </w:numPr>
      </w:pPr>
      <w:r w:rsidRPr="00752642">
        <w:rPr>
          <w:b/>
          <w:bCs/>
        </w:rPr>
        <w:lastRenderedPageBreak/>
        <w:t>Action:</w:t>
      </w:r>
      <w:r w:rsidRPr="00752642">
        <w:t xml:space="preserve"> Assign 3-banker “strike teams” per sub-sector to follow up on top AI leads within 48 hours.</w:t>
      </w:r>
    </w:p>
    <w:p w14:paraId="6011C682" w14:textId="77777777" w:rsidR="00752642" w:rsidRPr="00752642" w:rsidRDefault="00752642" w:rsidP="00752642">
      <w:pPr>
        <w:numPr>
          <w:ilvl w:val="1"/>
          <w:numId w:val="2"/>
        </w:numPr>
      </w:pPr>
      <w:r w:rsidRPr="00752642">
        <w:rPr>
          <w:b/>
          <w:bCs/>
        </w:rPr>
        <w:t>Impact:</w:t>
      </w:r>
      <w:r w:rsidRPr="00752642">
        <w:t xml:space="preserve"> Speed-to-pitch advantage wins early mindshare, capturing deals before GS and boutiques.</w:t>
      </w:r>
    </w:p>
    <w:p w14:paraId="641FCF08" w14:textId="77777777" w:rsidR="008739C0" w:rsidRDefault="008739C0"/>
    <w:p w14:paraId="7CFAEB93" w14:textId="77777777" w:rsidR="00752642" w:rsidRDefault="00752642"/>
    <w:p w14:paraId="4739CDF6" w14:textId="77777777" w:rsidR="00752642" w:rsidRPr="00752642" w:rsidRDefault="00752642" w:rsidP="00752642">
      <w:pPr>
        <w:rPr>
          <w:b/>
          <w:bCs/>
        </w:rPr>
      </w:pPr>
      <w:r w:rsidRPr="00752642">
        <w:rPr>
          <w:b/>
          <w:bCs/>
        </w:rPr>
        <w:t>4. Industry-Specific Conferences</w:t>
      </w:r>
    </w:p>
    <w:p w14:paraId="0F9F2F9C" w14:textId="77777777" w:rsidR="00752642" w:rsidRPr="00752642" w:rsidRDefault="00752642" w:rsidP="00752642">
      <w:r w:rsidRPr="00752642">
        <w:rPr>
          <w:b/>
          <w:bCs/>
        </w:rPr>
        <w:t>Sub-points:</w:t>
      </w:r>
      <w:r w:rsidRPr="00752642">
        <w:br/>
        <w:t>• Establish Us as “Thought Leader”</w:t>
      </w:r>
      <w:r w:rsidRPr="00752642">
        <w:br/>
        <w:t>• Organic Client Conversion</w:t>
      </w:r>
    </w:p>
    <w:p w14:paraId="68F233F5" w14:textId="77777777" w:rsidR="00752642" w:rsidRPr="00752642" w:rsidRDefault="00752642" w:rsidP="00752642">
      <w:pPr>
        <w:rPr>
          <w:b/>
          <w:bCs/>
        </w:rPr>
      </w:pPr>
      <w:r w:rsidRPr="00752642">
        <w:rPr>
          <w:b/>
          <w:bCs/>
        </w:rPr>
        <w:t>Why It Matters</w:t>
      </w:r>
    </w:p>
    <w:p w14:paraId="2EC0385D" w14:textId="77777777" w:rsidR="00752642" w:rsidRPr="00752642" w:rsidRDefault="00752642" w:rsidP="00752642">
      <w:pPr>
        <w:numPr>
          <w:ilvl w:val="0"/>
          <w:numId w:val="3"/>
        </w:numPr>
      </w:pPr>
      <w:r w:rsidRPr="00752642">
        <w:rPr>
          <w:b/>
          <w:bCs/>
        </w:rPr>
        <w:t>Lack of Client Forums:</w:t>
      </w:r>
      <w:r w:rsidRPr="00752642">
        <w:t xml:space="preserve"> Goldman and boutiques host sector summits (e.g. Goldman’s Healthcare Innovation Conference draws 500+ C-suite execs). JPM’s counterpart events are fewer and broader.</w:t>
      </w:r>
    </w:p>
    <w:p w14:paraId="1F3F1304" w14:textId="77777777" w:rsidR="00752642" w:rsidRPr="00752642" w:rsidRDefault="00752642" w:rsidP="00752642">
      <w:pPr>
        <w:numPr>
          <w:ilvl w:val="0"/>
          <w:numId w:val="3"/>
        </w:numPr>
      </w:pPr>
      <w:r w:rsidRPr="00752642">
        <w:rPr>
          <w:b/>
          <w:bCs/>
        </w:rPr>
        <w:t>Mindshare Gap:</w:t>
      </w:r>
      <w:r w:rsidRPr="00752642">
        <w:t xml:space="preserve"> CEOs remember the bank that convened key peers and analysts—this translates directly into first-calls for advisory mandates.</w:t>
      </w:r>
    </w:p>
    <w:p w14:paraId="51C94204" w14:textId="77777777" w:rsidR="00752642" w:rsidRPr="00752642" w:rsidRDefault="00752642" w:rsidP="00752642">
      <w:pPr>
        <w:rPr>
          <w:b/>
          <w:bCs/>
        </w:rPr>
      </w:pPr>
      <w:r w:rsidRPr="00752642">
        <w:rPr>
          <w:b/>
          <w:bCs/>
        </w:rPr>
        <w:t>How This Fixes the Gap</w:t>
      </w:r>
    </w:p>
    <w:p w14:paraId="30F66AD2" w14:textId="77777777" w:rsidR="00752642" w:rsidRPr="00752642" w:rsidRDefault="00752642" w:rsidP="00752642">
      <w:pPr>
        <w:numPr>
          <w:ilvl w:val="0"/>
          <w:numId w:val="4"/>
        </w:numPr>
      </w:pPr>
      <w:r w:rsidRPr="00752642">
        <w:rPr>
          <w:b/>
          <w:bCs/>
        </w:rPr>
        <w:t>Quarterly Sub-Sector Summits</w:t>
      </w:r>
    </w:p>
    <w:p w14:paraId="786CCC2F" w14:textId="77777777" w:rsidR="00752642" w:rsidRPr="00752642" w:rsidRDefault="00752642" w:rsidP="00752642">
      <w:pPr>
        <w:numPr>
          <w:ilvl w:val="1"/>
          <w:numId w:val="4"/>
        </w:numPr>
      </w:pPr>
      <w:r w:rsidRPr="00752642">
        <w:rPr>
          <w:b/>
          <w:bCs/>
        </w:rPr>
        <w:t>Action:</w:t>
      </w:r>
      <w:r w:rsidRPr="00752642">
        <w:t xml:space="preserve"> Launch “JPM Tech Scale-Up Summit,” “</w:t>
      </w:r>
      <w:r w:rsidRPr="00752642">
        <w:rPr>
          <w:highlight w:val="yellow"/>
        </w:rPr>
        <w:t>JPM Biotech Translational Forum,” “JPM Sustainable Industrials Roundtable</w:t>
      </w:r>
      <w:r w:rsidRPr="00752642">
        <w:t>” in NYC, SF, Boston. Invite 200+ CEOs, PE sponsors and key H.R. heads.</w:t>
      </w:r>
    </w:p>
    <w:p w14:paraId="00E2155F" w14:textId="77777777" w:rsidR="00752642" w:rsidRPr="00752642" w:rsidRDefault="00752642" w:rsidP="00752642">
      <w:pPr>
        <w:numPr>
          <w:ilvl w:val="1"/>
          <w:numId w:val="4"/>
        </w:numPr>
      </w:pPr>
      <w:r w:rsidRPr="00752642">
        <w:rPr>
          <w:b/>
          <w:bCs/>
        </w:rPr>
        <w:t>Impact:</w:t>
      </w:r>
      <w:r w:rsidRPr="00752642">
        <w:t xml:space="preserve"> </w:t>
      </w:r>
      <w:r w:rsidRPr="00752642">
        <w:rPr>
          <w:highlight w:val="yellow"/>
        </w:rPr>
        <w:t>Builds a pipeline</w:t>
      </w:r>
      <w:r w:rsidRPr="00752642">
        <w:t xml:space="preserve">—McKinsey reports that </w:t>
      </w:r>
      <w:r w:rsidRPr="00752642">
        <w:rPr>
          <w:b/>
          <w:bCs/>
        </w:rPr>
        <w:t>30% of mandates</w:t>
      </w:r>
      <w:r w:rsidRPr="00752642">
        <w:t xml:space="preserve"> come from event-sourced relationships.</w:t>
      </w:r>
    </w:p>
    <w:p w14:paraId="7C5A9F5F" w14:textId="77777777" w:rsidR="00752642" w:rsidRPr="00752642" w:rsidRDefault="00752642" w:rsidP="00752642">
      <w:pPr>
        <w:numPr>
          <w:ilvl w:val="0"/>
          <w:numId w:val="4"/>
        </w:numPr>
      </w:pPr>
      <w:r w:rsidRPr="00752642">
        <w:rPr>
          <w:b/>
          <w:bCs/>
        </w:rPr>
        <w:t>JPM Thought-Leadership Reports</w:t>
      </w:r>
    </w:p>
    <w:p w14:paraId="3BA0F2C1" w14:textId="77777777" w:rsidR="00752642" w:rsidRPr="00752642" w:rsidRDefault="00752642" w:rsidP="00752642">
      <w:pPr>
        <w:numPr>
          <w:ilvl w:val="1"/>
          <w:numId w:val="4"/>
        </w:numPr>
      </w:pPr>
      <w:r w:rsidRPr="00752642">
        <w:rPr>
          <w:b/>
          <w:bCs/>
        </w:rPr>
        <w:t>Action:</w:t>
      </w:r>
      <w:r w:rsidRPr="00752642">
        <w:t xml:space="preserve"> Publish and distribute post-event whitepapers (e.g. “GenAI in Drug Discovery: M&amp;A Outlook 2025–27”) under JPM’s brand.</w:t>
      </w:r>
    </w:p>
    <w:p w14:paraId="288DA311" w14:textId="77777777" w:rsidR="00752642" w:rsidRPr="00752642" w:rsidRDefault="00752642" w:rsidP="00752642">
      <w:pPr>
        <w:numPr>
          <w:ilvl w:val="1"/>
          <w:numId w:val="4"/>
        </w:numPr>
        <w:rPr>
          <w:highlight w:val="yellow"/>
        </w:rPr>
      </w:pPr>
      <w:r w:rsidRPr="00752642">
        <w:rPr>
          <w:b/>
          <w:bCs/>
        </w:rPr>
        <w:t>Impact:</w:t>
      </w:r>
      <w:r w:rsidRPr="00752642">
        <w:t xml:space="preserve"> </w:t>
      </w:r>
      <w:r w:rsidRPr="00752642">
        <w:rPr>
          <w:highlight w:val="yellow"/>
        </w:rPr>
        <w:t xml:space="preserve">Positions JPM as the go-to advisor for those themes, creating </w:t>
      </w:r>
      <w:r w:rsidRPr="00752642">
        <w:rPr>
          <w:b/>
          <w:bCs/>
          <w:highlight w:val="yellow"/>
        </w:rPr>
        <w:t>organic inbound</w:t>
      </w:r>
      <w:r w:rsidRPr="00752642">
        <w:rPr>
          <w:highlight w:val="yellow"/>
        </w:rPr>
        <w:t xml:space="preserve"> deal requests.</w:t>
      </w:r>
    </w:p>
    <w:p w14:paraId="5CB58B8E" w14:textId="77777777" w:rsidR="00752642" w:rsidRPr="00752642" w:rsidRDefault="00752642" w:rsidP="00752642">
      <w:pPr>
        <w:numPr>
          <w:ilvl w:val="0"/>
          <w:numId w:val="4"/>
        </w:numPr>
      </w:pPr>
      <w:r w:rsidRPr="00752642">
        <w:rPr>
          <w:b/>
          <w:bCs/>
        </w:rPr>
        <w:t>VIP C-Suite Retreats</w:t>
      </w:r>
    </w:p>
    <w:p w14:paraId="3BB7B242" w14:textId="77777777" w:rsidR="00752642" w:rsidRPr="00752642" w:rsidRDefault="00752642" w:rsidP="00752642">
      <w:pPr>
        <w:numPr>
          <w:ilvl w:val="1"/>
          <w:numId w:val="4"/>
        </w:numPr>
      </w:pPr>
      <w:r w:rsidRPr="00752642">
        <w:rPr>
          <w:b/>
          <w:bCs/>
        </w:rPr>
        <w:t>Action:</w:t>
      </w:r>
      <w:r w:rsidRPr="00752642">
        <w:t xml:space="preserve"> Host annual off-the-record retreats in Nantucket or Lake Tahoe for top 30 clients in each sector.</w:t>
      </w:r>
    </w:p>
    <w:p w14:paraId="113E687E" w14:textId="77777777" w:rsidR="00752642" w:rsidRPr="00752642" w:rsidRDefault="00752642" w:rsidP="00752642">
      <w:pPr>
        <w:numPr>
          <w:ilvl w:val="1"/>
          <w:numId w:val="4"/>
        </w:numPr>
      </w:pPr>
      <w:r w:rsidRPr="00752642">
        <w:rPr>
          <w:b/>
          <w:bCs/>
        </w:rPr>
        <w:t>Impact:</w:t>
      </w:r>
      <w:r w:rsidRPr="00752642">
        <w:t xml:space="preserve"> Deepens relationships—CEOs who attend are 50% more likely to give JPM their next advisory mandate, per internal client-feedback surveys.</w:t>
      </w:r>
    </w:p>
    <w:p w14:paraId="5ED0C0FC" w14:textId="77777777" w:rsidR="00752642" w:rsidRDefault="00752642"/>
    <w:p w14:paraId="04DF2AF1" w14:textId="77777777" w:rsidR="008572DB" w:rsidRDefault="008572DB"/>
    <w:p w14:paraId="24D912ED" w14:textId="77777777" w:rsidR="008572DB" w:rsidRDefault="008572DB"/>
    <w:p w14:paraId="19E84265" w14:textId="77777777" w:rsidR="008572DB" w:rsidRPr="008572DB" w:rsidRDefault="008572DB" w:rsidP="008572DB">
      <w:pPr>
        <w:rPr>
          <w:b/>
          <w:bCs/>
        </w:rPr>
      </w:pPr>
      <w:r w:rsidRPr="008572DB">
        <w:rPr>
          <w:b/>
          <w:bCs/>
        </w:rPr>
        <w:lastRenderedPageBreak/>
        <w:t>A. What an Integrated Client Solutions Model Looks Like</w:t>
      </w:r>
    </w:p>
    <w:p w14:paraId="7E47D9E8" w14:textId="77777777" w:rsidR="008572DB" w:rsidRPr="008572DB" w:rsidRDefault="008572DB" w:rsidP="008572DB">
      <w:pPr>
        <w:numPr>
          <w:ilvl w:val="0"/>
          <w:numId w:val="5"/>
        </w:numPr>
      </w:pPr>
      <w:r w:rsidRPr="008572DB">
        <w:rPr>
          <w:b/>
          <w:bCs/>
        </w:rPr>
        <w:t>Assign a Dedicated Relationship Lead</w:t>
      </w:r>
    </w:p>
    <w:p w14:paraId="257F827C" w14:textId="77777777" w:rsidR="008572DB" w:rsidRPr="008572DB" w:rsidRDefault="008572DB" w:rsidP="008572DB">
      <w:pPr>
        <w:numPr>
          <w:ilvl w:val="1"/>
          <w:numId w:val="5"/>
        </w:numPr>
      </w:pPr>
      <w:r w:rsidRPr="008572DB">
        <w:rPr>
          <w:b/>
          <w:bCs/>
        </w:rPr>
        <w:t>Role:</w:t>
      </w:r>
      <w:r w:rsidRPr="008572DB">
        <w:t xml:space="preserve"> A senior banker (Director/MD level) who “owns” the overall relationship with a top client.</w:t>
      </w:r>
    </w:p>
    <w:p w14:paraId="27BD836C" w14:textId="77777777" w:rsidR="008572DB" w:rsidRPr="008572DB" w:rsidRDefault="008572DB" w:rsidP="008572DB">
      <w:pPr>
        <w:numPr>
          <w:ilvl w:val="1"/>
          <w:numId w:val="5"/>
        </w:numPr>
      </w:pPr>
      <w:r w:rsidRPr="008572DB">
        <w:rPr>
          <w:b/>
          <w:bCs/>
        </w:rPr>
        <w:t>Responsibilities:</w:t>
      </w:r>
    </w:p>
    <w:p w14:paraId="2C679ECD" w14:textId="77777777" w:rsidR="008572DB" w:rsidRPr="008572DB" w:rsidRDefault="008572DB" w:rsidP="008572DB">
      <w:pPr>
        <w:numPr>
          <w:ilvl w:val="2"/>
          <w:numId w:val="5"/>
        </w:numPr>
      </w:pPr>
      <w:r w:rsidRPr="008572DB">
        <w:t>Convene the right specialists (M&amp;A, DCM, Lending, FX, Treasury) for each client interaction.</w:t>
      </w:r>
    </w:p>
    <w:p w14:paraId="1E43ECC6" w14:textId="77777777" w:rsidR="008572DB" w:rsidRPr="008572DB" w:rsidRDefault="008572DB" w:rsidP="008572DB">
      <w:pPr>
        <w:numPr>
          <w:ilvl w:val="2"/>
          <w:numId w:val="5"/>
        </w:numPr>
      </w:pPr>
      <w:r w:rsidRPr="008572DB">
        <w:t>Track every ongoing engagement—past deals, pipeline ideas, outstanding services.</w:t>
      </w:r>
    </w:p>
    <w:p w14:paraId="2EDF3AA7" w14:textId="77777777" w:rsidR="008572DB" w:rsidRPr="008572DB" w:rsidRDefault="008572DB" w:rsidP="008572DB">
      <w:pPr>
        <w:numPr>
          <w:ilvl w:val="2"/>
          <w:numId w:val="5"/>
        </w:numPr>
      </w:pPr>
      <w:r w:rsidRPr="008572DB">
        <w:t>Serve as the single point of accountability for the client’s satisfaction and business growth.</w:t>
      </w:r>
    </w:p>
    <w:p w14:paraId="44D9E086" w14:textId="77777777" w:rsidR="008572DB" w:rsidRPr="008572DB" w:rsidRDefault="008572DB" w:rsidP="008572DB">
      <w:pPr>
        <w:numPr>
          <w:ilvl w:val="0"/>
          <w:numId w:val="5"/>
        </w:numPr>
      </w:pPr>
      <w:r w:rsidRPr="008572DB">
        <w:rPr>
          <w:b/>
          <w:bCs/>
        </w:rPr>
        <w:t>Unified Digital Dashboard</w:t>
      </w:r>
    </w:p>
    <w:p w14:paraId="758755EF" w14:textId="77777777" w:rsidR="008572DB" w:rsidRPr="008572DB" w:rsidRDefault="008572DB" w:rsidP="008572DB">
      <w:pPr>
        <w:numPr>
          <w:ilvl w:val="1"/>
          <w:numId w:val="5"/>
        </w:numPr>
      </w:pPr>
      <w:r w:rsidRPr="008572DB">
        <w:rPr>
          <w:b/>
          <w:bCs/>
        </w:rPr>
        <w:t>Features:</w:t>
      </w:r>
    </w:p>
    <w:p w14:paraId="63F8A92F" w14:textId="77777777" w:rsidR="008572DB" w:rsidRPr="008572DB" w:rsidRDefault="008572DB" w:rsidP="008572DB">
      <w:pPr>
        <w:numPr>
          <w:ilvl w:val="2"/>
          <w:numId w:val="5"/>
        </w:numPr>
      </w:pPr>
      <w:r w:rsidRPr="008572DB">
        <w:t>Real-time view of:</w:t>
      </w:r>
    </w:p>
    <w:p w14:paraId="557F578D" w14:textId="77777777" w:rsidR="008572DB" w:rsidRPr="008572DB" w:rsidRDefault="008572DB" w:rsidP="008572DB">
      <w:pPr>
        <w:numPr>
          <w:ilvl w:val="3"/>
          <w:numId w:val="5"/>
        </w:numPr>
      </w:pPr>
      <w:r w:rsidRPr="008572DB">
        <w:rPr>
          <w:b/>
          <w:bCs/>
        </w:rPr>
        <w:t>M&amp;A Mandates:</w:t>
      </w:r>
      <w:r w:rsidRPr="008572DB">
        <w:t xml:space="preserve"> Active pitches, deal stage, advisory fees.</w:t>
      </w:r>
    </w:p>
    <w:p w14:paraId="114E9025" w14:textId="77777777" w:rsidR="008572DB" w:rsidRPr="008572DB" w:rsidRDefault="008572DB" w:rsidP="008572DB">
      <w:pPr>
        <w:numPr>
          <w:ilvl w:val="3"/>
          <w:numId w:val="5"/>
        </w:numPr>
      </w:pPr>
      <w:r w:rsidRPr="008572DB">
        <w:rPr>
          <w:b/>
          <w:bCs/>
        </w:rPr>
        <w:t>Capital Markets Activity:</w:t>
      </w:r>
      <w:r w:rsidRPr="008572DB">
        <w:t xml:space="preserve"> Upcoming bond/loan issuance calendars and execution status.</w:t>
      </w:r>
    </w:p>
    <w:p w14:paraId="0DFC9FB4" w14:textId="77777777" w:rsidR="008572DB" w:rsidRPr="008572DB" w:rsidRDefault="008572DB" w:rsidP="008572DB">
      <w:pPr>
        <w:numPr>
          <w:ilvl w:val="3"/>
          <w:numId w:val="5"/>
        </w:numPr>
      </w:pPr>
      <w:r w:rsidRPr="008572DB">
        <w:rPr>
          <w:b/>
          <w:bCs/>
        </w:rPr>
        <w:t>Risk Management:</w:t>
      </w:r>
      <w:r w:rsidRPr="008572DB">
        <w:t xml:space="preserve"> Open hedges (currency, rate) and P&amp;L impact.</w:t>
      </w:r>
    </w:p>
    <w:p w14:paraId="2F878213" w14:textId="77777777" w:rsidR="008572DB" w:rsidRPr="008572DB" w:rsidRDefault="008572DB" w:rsidP="008572DB">
      <w:pPr>
        <w:numPr>
          <w:ilvl w:val="3"/>
          <w:numId w:val="5"/>
        </w:numPr>
      </w:pPr>
      <w:r w:rsidRPr="008572DB">
        <w:rPr>
          <w:b/>
          <w:bCs/>
        </w:rPr>
        <w:t>Cash &amp; Working Capital:</w:t>
      </w:r>
      <w:r w:rsidRPr="008572DB">
        <w:t xml:space="preserve"> Treasury balances, sweep programs, </w:t>
      </w:r>
      <w:proofErr w:type="spellStart"/>
      <w:r w:rsidRPr="008572DB">
        <w:t>Kinexys</w:t>
      </w:r>
      <w:proofErr w:type="spellEnd"/>
      <w:r w:rsidRPr="008572DB">
        <w:t>-enabled services (e.g., escrow yield).</w:t>
      </w:r>
    </w:p>
    <w:p w14:paraId="7C95E9E4" w14:textId="77777777" w:rsidR="008572DB" w:rsidRPr="008572DB" w:rsidRDefault="008572DB" w:rsidP="008572DB">
      <w:pPr>
        <w:numPr>
          <w:ilvl w:val="2"/>
          <w:numId w:val="5"/>
        </w:numPr>
      </w:pPr>
      <w:r w:rsidRPr="008572DB">
        <w:rPr>
          <w:b/>
          <w:bCs/>
        </w:rPr>
        <w:t>Alerts &amp; Insights:</w:t>
      </w:r>
      <w:r w:rsidRPr="008572DB">
        <w:t xml:space="preserve"> Automated flags (e.g., “Client’s patent just issued—possible M&amp;A trigger”) and recommended next steps.</w:t>
      </w:r>
    </w:p>
    <w:p w14:paraId="1E3ACB9D" w14:textId="77777777" w:rsidR="008572DB" w:rsidRPr="008572DB" w:rsidRDefault="008572DB" w:rsidP="008572DB">
      <w:pPr>
        <w:numPr>
          <w:ilvl w:val="0"/>
          <w:numId w:val="5"/>
        </w:numPr>
      </w:pPr>
      <w:r w:rsidRPr="008572DB">
        <w:rPr>
          <w:b/>
          <w:bCs/>
        </w:rPr>
        <w:t>Quarterly Strategic Partnership Review</w:t>
      </w:r>
    </w:p>
    <w:p w14:paraId="50A1FC35" w14:textId="77777777" w:rsidR="008572DB" w:rsidRPr="008572DB" w:rsidRDefault="008572DB" w:rsidP="008572DB">
      <w:pPr>
        <w:numPr>
          <w:ilvl w:val="1"/>
          <w:numId w:val="5"/>
        </w:numPr>
      </w:pPr>
      <w:r w:rsidRPr="008572DB">
        <w:rPr>
          <w:b/>
          <w:bCs/>
        </w:rPr>
        <w:t>Format:</w:t>
      </w:r>
      <w:r w:rsidRPr="008572DB">
        <w:t xml:space="preserve"> In-person or virtual executive briefing led by the Relationship Lead, including senior product heads as needed.</w:t>
      </w:r>
    </w:p>
    <w:p w14:paraId="7155639A" w14:textId="77777777" w:rsidR="008572DB" w:rsidRPr="008572DB" w:rsidRDefault="008572DB" w:rsidP="008572DB">
      <w:pPr>
        <w:numPr>
          <w:ilvl w:val="1"/>
          <w:numId w:val="5"/>
        </w:numPr>
      </w:pPr>
      <w:r w:rsidRPr="008572DB">
        <w:rPr>
          <w:b/>
          <w:bCs/>
        </w:rPr>
        <w:t>Agenda:</w:t>
      </w:r>
    </w:p>
    <w:p w14:paraId="73DB0FCA" w14:textId="77777777" w:rsidR="008572DB" w:rsidRPr="008572DB" w:rsidRDefault="008572DB" w:rsidP="008572DB">
      <w:pPr>
        <w:numPr>
          <w:ilvl w:val="2"/>
          <w:numId w:val="6"/>
        </w:numPr>
      </w:pPr>
      <w:r w:rsidRPr="008572DB">
        <w:rPr>
          <w:b/>
          <w:bCs/>
        </w:rPr>
        <w:t>Performance Recap:</w:t>
      </w:r>
      <w:r w:rsidRPr="008572DB">
        <w:t xml:space="preserve"> Fees generated, deals closed, treasury solutions delivered.</w:t>
      </w:r>
    </w:p>
    <w:p w14:paraId="35F9BA89" w14:textId="77777777" w:rsidR="008572DB" w:rsidRPr="008572DB" w:rsidRDefault="008572DB" w:rsidP="008572DB">
      <w:pPr>
        <w:numPr>
          <w:ilvl w:val="2"/>
          <w:numId w:val="6"/>
        </w:numPr>
      </w:pPr>
      <w:r w:rsidRPr="008572DB">
        <w:rPr>
          <w:b/>
          <w:bCs/>
        </w:rPr>
        <w:t>Market Outlook &amp; Ideas:</w:t>
      </w:r>
      <w:r w:rsidRPr="008572DB">
        <w:t xml:space="preserve"> Sub-sector-specific themes (from your boutique teams), predictive AI insights.</w:t>
      </w:r>
    </w:p>
    <w:p w14:paraId="4875E0E0" w14:textId="77777777" w:rsidR="008572DB" w:rsidRPr="008572DB" w:rsidRDefault="008572DB" w:rsidP="008572DB">
      <w:pPr>
        <w:numPr>
          <w:ilvl w:val="2"/>
          <w:numId w:val="6"/>
        </w:numPr>
      </w:pPr>
      <w:r w:rsidRPr="008572DB">
        <w:rPr>
          <w:b/>
          <w:bCs/>
        </w:rPr>
        <w:t>Client Feedback &amp; Next Priorities:</w:t>
      </w:r>
      <w:r w:rsidRPr="008572DB">
        <w:t xml:space="preserve"> Identify gaps, emerging needs, and opportunities for tapping other JPM products.</w:t>
      </w:r>
    </w:p>
    <w:p w14:paraId="6D40D9AC" w14:textId="77777777" w:rsidR="008572DB" w:rsidRPr="008572DB" w:rsidRDefault="008572DB" w:rsidP="008572DB">
      <w:pPr>
        <w:numPr>
          <w:ilvl w:val="0"/>
          <w:numId w:val="5"/>
        </w:numPr>
      </w:pPr>
      <w:r w:rsidRPr="008572DB">
        <w:rPr>
          <w:b/>
          <w:bCs/>
        </w:rPr>
        <w:t>Cross-Product Incentive Alignment</w:t>
      </w:r>
    </w:p>
    <w:p w14:paraId="6BEB95B1" w14:textId="77777777" w:rsidR="008572DB" w:rsidRPr="008572DB" w:rsidRDefault="008572DB" w:rsidP="008572DB">
      <w:pPr>
        <w:numPr>
          <w:ilvl w:val="1"/>
          <w:numId w:val="5"/>
        </w:numPr>
      </w:pPr>
      <w:r w:rsidRPr="008572DB">
        <w:rPr>
          <w:b/>
          <w:bCs/>
        </w:rPr>
        <w:t>Compensation:</w:t>
      </w:r>
      <w:r w:rsidRPr="008572DB">
        <w:t xml:space="preserve"> The Relationship Lead’s bonus is tied to </w:t>
      </w:r>
      <w:r w:rsidRPr="008572DB">
        <w:rPr>
          <w:b/>
          <w:bCs/>
        </w:rPr>
        <w:t>aggregate wallet growth</w:t>
      </w:r>
      <w:r w:rsidRPr="008572DB">
        <w:t xml:space="preserve"> (advisory, debt, hedging, deposits), not just M&amp;A fees.</w:t>
      </w:r>
    </w:p>
    <w:p w14:paraId="47DA8B08" w14:textId="77777777" w:rsidR="008572DB" w:rsidRPr="008572DB" w:rsidRDefault="008572DB" w:rsidP="008572DB">
      <w:pPr>
        <w:numPr>
          <w:ilvl w:val="1"/>
          <w:numId w:val="5"/>
        </w:numPr>
      </w:pPr>
      <w:r w:rsidRPr="008572DB">
        <w:rPr>
          <w:b/>
          <w:bCs/>
        </w:rPr>
        <w:lastRenderedPageBreak/>
        <w:t>Team Culture:</w:t>
      </w:r>
      <w:r w:rsidRPr="008572DB">
        <w:t xml:space="preserve"> M&amp;A bankers, DCM syndicate, and Treasury specialists share a common scorecard for client retention metrics.</w:t>
      </w:r>
    </w:p>
    <w:p w14:paraId="261482C1" w14:textId="77777777" w:rsidR="008572DB" w:rsidRPr="008572DB" w:rsidRDefault="00000000" w:rsidP="008572DB">
      <w:r>
        <w:pict w14:anchorId="2D0DF0FD">
          <v:rect id="_x0000_i1025" style="width:0;height:1.5pt" o:hralign="center" o:hrstd="t" o:hr="t" fillcolor="#a0a0a0" stroked="f"/>
        </w:pict>
      </w:r>
    </w:p>
    <w:p w14:paraId="7BE8FF93" w14:textId="77777777" w:rsidR="008572DB" w:rsidRPr="008572DB" w:rsidRDefault="008572DB" w:rsidP="008572DB">
      <w:pPr>
        <w:rPr>
          <w:b/>
          <w:bCs/>
        </w:rPr>
      </w:pPr>
      <w:r w:rsidRPr="008572DB">
        <w:rPr>
          <w:b/>
          <w:bCs/>
        </w:rPr>
        <w:t>B. Why This Doesn’t Contradict “Pure Advisory” Sub-Sector Teams</w:t>
      </w:r>
    </w:p>
    <w:p w14:paraId="34A1A5F6" w14:textId="77777777" w:rsidR="008572DB" w:rsidRPr="008572DB" w:rsidRDefault="008572DB" w:rsidP="008572DB">
      <w:pPr>
        <w:numPr>
          <w:ilvl w:val="0"/>
          <w:numId w:val="7"/>
        </w:numPr>
      </w:pPr>
      <w:r w:rsidRPr="008572DB">
        <w:rPr>
          <w:b/>
          <w:bCs/>
        </w:rPr>
        <w:t>Two Layers of Client Coverage</w:t>
      </w:r>
    </w:p>
    <w:p w14:paraId="38689613" w14:textId="77777777" w:rsidR="008572DB" w:rsidRPr="008572DB" w:rsidRDefault="008572DB" w:rsidP="008572DB">
      <w:pPr>
        <w:numPr>
          <w:ilvl w:val="1"/>
          <w:numId w:val="7"/>
        </w:numPr>
      </w:pPr>
      <w:r w:rsidRPr="008572DB">
        <w:rPr>
          <w:b/>
          <w:bCs/>
        </w:rPr>
        <w:t>Layer 1: Sub-Sector Boutique Teams</w:t>
      </w:r>
    </w:p>
    <w:p w14:paraId="1F522A3A" w14:textId="77777777" w:rsidR="008572DB" w:rsidRPr="008572DB" w:rsidRDefault="008572DB" w:rsidP="008572DB">
      <w:pPr>
        <w:numPr>
          <w:ilvl w:val="2"/>
          <w:numId w:val="7"/>
        </w:numPr>
      </w:pPr>
      <w:r w:rsidRPr="008572DB">
        <w:t xml:space="preserve">Focused 100% on delivering </w:t>
      </w:r>
      <w:r w:rsidRPr="008572DB">
        <w:rPr>
          <w:i/>
          <w:iCs/>
        </w:rPr>
        <w:t>pure advisory</w:t>
      </w:r>
      <w:r w:rsidRPr="008572DB">
        <w:t xml:space="preserve"> advice in their niche (e.g., Biotech M&amp;A).</w:t>
      </w:r>
    </w:p>
    <w:p w14:paraId="2E2AA5F3" w14:textId="77777777" w:rsidR="008572DB" w:rsidRPr="008572DB" w:rsidRDefault="008572DB" w:rsidP="008572DB">
      <w:pPr>
        <w:numPr>
          <w:ilvl w:val="2"/>
          <w:numId w:val="7"/>
        </w:numPr>
      </w:pPr>
      <w:r w:rsidRPr="008572DB">
        <w:t>No conflicts with lending or trading. They win the mandate on technical expertise and pitch depth.</w:t>
      </w:r>
    </w:p>
    <w:p w14:paraId="352D1B91" w14:textId="77777777" w:rsidR="008572DB" w:rsidRPr="008572DB" w:rsidRDefault="008572DB" w:rsidP="008572DB">
      <w:pPr>
        <w:numPr>
          <w:ilvl w:val="1"/>
          <w:numId w:val="7"/>
        </w:numPr>
      </w:pPr>
      <w:r w:rsidRPr="008572DB">
        <w:rPr>
          <w:b/>
          <w:bCs/>
        </w:rPr>
        <w:t>Layer 2: Integrated Client Solutions</w:t>
      </w:r>
    </w:p>
    <w:p w14:paraId="1E875DAC" w14:textId="77777777" w:rsidR="008572DB" w:rsidRPr="008572DB" w:rsidRDefault="008572DB" w:rsidP="008572DB">
      <w:pPr>
        <w:numPr>
          <w:ilvl w:val="2"/>
          <w:numId w:val="7"/>
        </w:numPr>
      </w:pPr>
      <w:r w:rsidRPr="008572DB">
        <w:t xml:space="preserve">Wraps around the boutique teams to ensure </w:t>
      </w:r>
      <w:r w:rsidRPr="008572DB">
        <w:rPr>
          <w:b/>
          <w:bCs/>
        </w:rPr>
        <w:t>all</w:t>
      </w:r>
      <w:r w:rsidRPr="008572DB">
        <w:t xml:space="preserve"> client needs (beyond M&amp;A) are addressed.</w:t>
      </w:r>
    </w:p>
    <w:p w14:paraId="4A215AB6" w14:textId="77777777" w:rsidR="008572DB" w:rsidRPr="008572DB" w:rsidRDefault="008572DB" w:rsidP="008572DB">
      <w:pPr>
        <w:numPr>
          <w:ilvl w:val="2"/>
          <w:numId w:val="7"/>
        </w:numPr>
      </w:pPr>
      <w:r w:rsidRPr="008572DB">
        <w:t xml:space="preserve">Once the pure-advisory team wins the deal, the Relationship Lead brings in capital-markets, hedging, lending or </w:t>
      </w:r>
      <w:proofErr w:type="spellStart"/>
      <w:r w:rsidRPr="008572DB">
        <w:t>Kinexys</w:t>
      </w:r>
      <w:proofErr w:type="spellEnd"/>
      <w:r w:rsidRPr="008572DB">
        <w:t xml:space="preserve"> services.</w:t>
      </w:r>
    </w:p>
    <w:p w14:paraId="7CA1E00A" w14:textId="77777777" w:rsidR="008572DB" w:rsidRPr="008572DB" w:rsidRDefault="008572DB" w:rsidP="008572DB">
      <w:pPr>
        <w:numPr>
          <w:ilvl w:val="0"/>
          <w:numId w:val="7"/>
        </w:numPr>
      </w:pPr>
      <w:r w:rsidRPr="008572DB">
        <w:rPr>
          <w:b/>
          <w:bCs/>
        </w:rPr>
        <w:t>Sequential, Not Simultaneous Roles</w:t>
      </w:r>
    </w:p>
    <w:p w14:paraId="691CDD5C" w14:textId="77777777" w:rsidR="008572DB" w:rsidRPr="008572DB" w:rsidRDefault="008572DB" w:rsidP="008572DB">
      <w:pPr>
        <w:numPr>
          <w:ilvl w:val="1"/>
          <w:numId w:val="7"/>
        </w:numPr>
      </w:pPr>
      <w:r w:rsidRPr="008572DB">
        <w:t xml:space="preserve">The </w:t>
      </w:r>
      <w:r w:rsidRPr="008572DB">
        <w:rPr>
          <w:b/>
          <w:bCs/>
        </w:rPr>
        <w:t>sub-sector team</w:t>
      </w:r>
      <w:r w:rsidRPr="008572DB">
        <w:t xml:space="preserve"> wins the advisory mandate on its niche credentials.</w:t>
      </w:r>
    </w:p>
    <w:p w14:paraId="13650AD6" w14:textId="77777777" w:rsidR="008572DB" w:rsidRPr="008572DB" w:rsidRDefault="008572DB" w:rsidP="008572DB">
      <w:pPr>
        <w:numPr>
          <w:ilvl w:val="1"/>
          <w:numId w:val="7"/>
        </w:numPr>
      </w:pPr>
      <w:r w:rsidRPr="008572DB">
        <w:t xml:space="preserve">After “mandate awarded,” the </w:t>
      </w:r>
      <w:r w:rsidRPr="008572DB">
        <w:rPr>
          <w:b/>
          <w:bCs/>
        </w:rPr>
        <w:t>Integrated Model</w:t>
      </w:r>
      <w:r w:rsidRPr="008572DB">
        <w:t xml:space="preserve"> kicks in to cross-sell other services, making JPM a full-service provider.</w:t>
      </w:r>
    </w:p>
    <w:p w14:paraId="265D6340" w14:textId="77777777" w:rsidR="008572DB" w:rsidRPr="008572DB" w:rsidRDefault="008572DB" w:rsidP="008572DB">
      <w:pPr>
        <w:numPr>
          <w:ilvl w:val="0"/>
          <w:numId w:val="7"/>
        </w:numPr>
      </w:pPr>
      <w:r w:rsidRPr="008572DB">
        <w:rPr>
          <w:b/>
          <w:bCs/>
        </w:rPr>
        <w:t>Conflict-Free Advisory + Full-Service Execution</w:t>
      </w:r>
    </w:p>
    <w:p w14:paraId="67B547DE" w14:textId="77777777" w:rsidR="008572DB" w:rsidRPr="008572DB" w:rsidRDefault="008572DB" w:rsidP="008572DB">
      <w:pPr>
        <w:numPr>
          <w:ilvl w:val="1"/>
          <w:numId w:val="7"/>
        </w:numPr>
      </w:pPr>
      <w:r w:rsidRPr="008572DB">
        <w:t xml:space="preserve">Clients get </w:t>
      </w:r>
      <w:r w:rsidRPr="008572DB">
        <w:rPr>
          <w:b/>
          <w:bCs/>
        </w:rPr>
        <w:t>conflict-free, laser-focused advice</w:t>
      </w:r>
      <w:r w:rsidRPr="008572DB">
        <w:t xml:space="preserve"> up front (why they chose us over boutiques).</w:t>
      </w:r>
    </w:p>
    <w:p w14:paraId="309303A4" w14:textId="77777777" w:rsidR="008572DB" w:rsidRPr="008572DB" w:rsidRDefault="008572DB" w:rsidP="008572DB">
      <w:pPr>
        <w:numPr>
          <w:ilvl w:val="1"/>
          <w:numId w:val="7"/>
        </w:numPr>
      </w:pPr>
      <w:r w:rsidRPr="008572DB">
        <w:t xml:space="preserve">Then they receive </w:t>
      </w:r>
      <w:r w:rsidRPr="008572DB">
        <w:rPr>
          <w:b/>
          <w:bCs/>
        </w:rPr>
        <w:t>end-to-end execution</w:t>
      </w:r>
      <w:r w:rsidRPr="008572DB">
        <w:t>—from capital-markets financing to FX hedges to escrow-yield services—under a single, coordinated relationship umbrella.</w:t>
      </w:r>
    </w:p>
    <w:p w14:paraId="12FF64F3" w14:textId="77777777" w:rsidR="008572DB" w:rsidRPr="008572DB" w:rsidRDefault="00000000" w:rsidP="008572DB">
      <w:r>
        <w:pict w14:anchorId="0AE2F806">
          <v:rect id="_x0000_i1026" style="width:0;height:1.5pt" o:hralign="center" o:hrstd="t" o:hr="t" fillcolor="#a0a0a0" stroked="f"/>
        </w:pict>
      </w:r>
    </w:p>
    <w:p w14:paraId="6AD084DC" w14:textId="77777777" w:rsidR="008572DB" w:rsidRPr="008572DB" w:rsidRDefault="008572DB" w:rsidP="008572DB">
      <w:pPr>
        <w:rPr>
          <w:b/>
          <w:bCs/>
        </w:rPr>
      </w:pPr>
      <w:r w:rsidRPr="008572DB">
        <w:rPr>
          <w:b/>
          <w:bCs/>
        </w:rPr>
        <w:t>C. How This Helps JPMorgan Win More Business</w:t>
      </w:r>
    </w:p>
    <w:p w14:paraId="5C85C9CE" w14:textId="77777777" w:rsidR="008572DB" w:rsidRPr="008572DB" w:rsidRDefault="008572DB" w:rsidP="008572DB">
      <w:pPr>
        <w:numPr>
          <w:ilvl w:val="0"/>
          <w:numId w:val="8"/>
        </w:numPr>
      </w:pPr>
      <w:r w:rsidRPr="008572DB">
        <w:rPr>
          <w:b/>
          <w:bCs/>
        </w:rPr>
        <w:t>Increases Mandate Win-Rates</w:t>
      </w:r>
    </w:p>
    <w:p w14:paraId="139BD49B" w14:textId="77777777" w:rsidR="008572DB" w:rsidRPr="008572DB" w:rsidRDefault="008572DB" w:rsidP="008572DB">
      <w:pPr>
        <w:numPr>
          <w:ilvl w:val="1"/>
          <w:numId w:val="8"/>
        </w:numPr>
      </w:pPr>
      <w:r w:rsidRPr="008572DB">
        <w:t>Pure advisory teams bring in niche deals; integrated leads ensure hand-offs are smooth, ensuring boutiques can’t swoop in after the advisory phase.</w:t>
      </w:r>
    </w:p>
    <w:p w14:paraId="5C37FFF2" w14:textId="77777777" w:rsidR="008572DB" w:rsidRPr="008572DB" w:rsidRDefault="008572DB" w:rsidP="008572DB">
      <w:pPr>
        <w:numPr>
          <w:ilvl w:val="0"/>
          <w:numId w:val="8"/>
        </w:numPr>
      </w:pPr>
      <w:r w:rsidRPr="008572DB">
        <w:rPr>
          <w:b/>
          <w:bCs/>
        </w:rPr>
        <w:t>Grows Wallet Share</w:t>
      </w:r>
    </w:p>
    <w:p w14:paraId="6B62C53F" w14:textId="77777777" w:rsidR="008572DB" w:rsidRPr="008572DB" w:rsidRDefault="008572DB" w:rsidP="008572DB">
      <w:pPr>
        <w:numPr>
          <w:ilvl w:val="1"/>
          <w:numId w:val="8"/>
        </w:numPr>
      </w:pPr>
      <w:r w:rsidRPr="008572DB">
        <w:t>After closing a $1B biotech deal, you then win the $200M bond issuance, the FX hedges, the escrow-yield service and the working-capital loan—all coordinated by the Relationship Lead.</w:t>
      </w:r>
    </w:p>
    <w:p w14:paraId="4735F607" w14:textId="77777777" w:rsidR="008572DB" w:rsidRPr="008572DB" w:rsidRDefault="008572DB" w:rsidP="008572DB">
      <w:pPr>
        <w:numPr>
          <w:ilvl w:val="0"/>
          <w:numId w:val="8"/>
        </w:numPr>
      </w:pPr>
      <w:r w:rsidRPr="008572DB">
        <w:rPr>
          <w:b/>
          <w:bCs/>
        </w:rPr>
        <w:t>Deepens Client Loyalty</w:t>
      </w:r>
    </w:p>
    <w:p w14:paraId="7C2C32FF" w14:textId="77777777" w:rsidR="008572DB" w:rsidRPr="008572DB" w:rsidRDefault="008572DB" w:rsidP="008572DB">
      <w:pPr>
        <w:numPr>
          <w:ilvl w:val="1"/>
          <w:numId w:val="8"/>
        </w:numPr>
      </w:pPr>
      <w:r w:rsidRPr="008572DB">
        <w:lastRenderedPageBreak/>
        <w:t>Clients value “one phone call does it all.” You cement the relationship by solving every need end-to-end, making it very hard for competitors to dislodge you.</w:t>
      </w:r>
    </w:p>
    <w:p w14:paraId="46AD5347" w14:textId="77777777" w:rsidR="008572DB" w:rsidRPr="008572DB" w:rsidRDefault="008572DB" w:rsidP="008572DB">
      <w:pPr>
        <w:numPr>
          <w:ilvl w:val="0"/>
          <w:numId w:val="8"/>
        </w:numPr>
      </w:pPr>
      <w:r w:rsidRPr="008572DB">
        <w:rPr>
          <w:b/>
          <w:bCs/>
        </w:rPr>
        <w:t>Drives Measurable Revenue</w:t>
      </w:r>
    </w:p>
    <w:p w14:paraId="0260A157" w14:textId="77777777" w:rsidR="008572DB" w:rsidRPr="008572DB" w:rsidRDefault="008572DB" w:rsidP="008572DB">
      <w:pPr>
        <w:numPr>
          <w:ilvl w:val="1"/>
          <w:numId w:val="8"/>
        </w:numPr>
      </w:pPr>
      <w:r w:rsidRPr="008572DB">
        <w:t xml:space="preserve">Integrated coverage drives a </w:t>
      </w:r>
      <w:r w:rsidRPr="008572DB">
        <w:rPr>
          <w:b/>
          <w:bCs/>
        </w:rPr>
        <w:t>30–40% uplift</w:t>
      </w:r>
      <w:r w:rsidRPr="008572DB">
        <w:t xml:space="preserve"> in revenues per client versus product-silo models (Greenwich Associates).</w:t>
      </w:r>
    </w:p>
    <w:p w14:paraId="501A3237" w14:textId="77777777" w:rsidR="008572DB" w:rsidRPr="008572DB" w:rsidRDefault="00000000" w:rsidP="008572DB">
      <w:r>
        <w:pict w14:anchorId="4051B70D">
          <v:rect id="_x0000_i1027" style="width:0;height:1.5pt" o:hralign="center" o:hrstd="t" o:hr="t" fillcolor="#a0a0a0" stroked="f"/>
        </w:pict>
      </w:r>
    </w:p>
    <w:p w14:paraId="180536E3" w14:textId="77777777" w:rsidR="008572DB" w:rsidRPr="008572DB" w:rsidRDefault="008572DB" w:rsidP="008572DB">
      <w:r w:rsidRPr="008572DB">
        <w:rPr>
          <w:b/>
          <w:bCs/>
        </w:rPr>
        <w:t>In short:</w:t>
      </w:r>
    </w:p>
    <w:p w14:paraId="1B1750D9" w14:textId="77777777" w:rsidR="008572DB" w:rsidRPr="008572DB" w:rsidRDefault="008572DB" w:rsidP="008572DB">
      <w:pPr>
        <w:numPr>
          <w:ilvl w:val="0"/>
          <w:numId w:val="9"/>
        </w:numPr>
      </w:pPr>
      <w:r w:rsidRPr="008572DB">
        <w:rPr>
          <w:b/>
          <w:bCs/>
        </w:rPr>
        <w:t>Sub-Sector Teams</w:t>
      </w:r>
      <w:r w:rsidRPr="008572DB">
        <w:t xml:space="preserve"> win the mandate with pure, conflict-free expertise.</w:t>
      </w:r>
    </w:p>
    <w:p w14:paraId="68855904" w14:textId="77777777" w:rsidR="008572DB" w:rsidRPr="008572DB" w:rsidRDefault="008572DB" w:rsidP="008572DB">
      <w:pPr>
        <w:numPr>
          <w:ilvl w:val="0"/>
          <w:numId w:val="9"/>
        </w:numPr>
      </w:pPr>
      <w:r w:rsidRPr="008572DB">
        <w:t xml:space="preserve">The </w:t>
      </w:r>
      <w:r w:rsidRPr="008572DB">
        <w:rPr>
          <w:b/>
          <w:bCs/>
        </w:rPr>
        <w:t>Integrated Model</w:t>
      </w:r>
      <w:r w:rsidRPr="008572DB">
        <w:t xml:space="preserve"> ensures JPMorgan captures the </w:t>
      </w:r>
      <w:r w:rsidRPr="008572DB">
        <w:rPr>
          <w:i/>
          <w:iCs/>
        </w:rPr>
        <w:t>rest</w:t>
      </w:r>
      <w:r w:rsidRPr="008572DB">
        <w:t xml:space="preserve"> of the client’s banking needs—turning a one-off advisory fee into a </w:t>
      </w:r>
      <w:r w:rsidRPr="008572DB">
        <w:rPr>
          <w:b/>
          <w:bCs/>
        </w:rPr>
        <w:t>multi-product, multi-year relationship</w:t>
      </w:r>
      <w:r w:rsidRPr="008572DB">
        <w:t>.</w:t>
      </w:r>
    </w:p>
    <w:p w14:paraId="5EB4D388" w14:textId="77777777" w:rsidR="008572DB" w:rsidRPr="008572DB" w:rsidRDefault="008572DB" w:rsidP="008572DB">
      <w:r w:rsidRPr="008572DB">
        <w:t>Together, these layers create a powerful, unified approach that addresses our current under-performance and drives sustained wallet growth.</w:t>
      </w:r>
    </w:p>
    <w:p w14:paraId="44B1E8BF" w14:textId="77777777" w:rsidR="008572DB" w:rsidRDefault="008572DB"/>
    <w:p w14:paraId="79AADBEE" w14:textId="77777777" w:rsidR="008572DB" w:rsidRDefault="008572DB"/>
    <w:p w14:paraId="1E33F39C" w14:textId="77777777" w:rsidR="008572DB" w:rsidRPr="008572DB" w:rsidRDefault="008572DB" w:rsidP="008572DB">
      <w:pPr>
        <w:rPr>
          <w:highlight w:val="yellow"/>
        </w:rPr>
      </w:pPr>
      <w:r w:rsidRPr="008572DB">
        <w:rPr>
          <w:b/>
          <w:bCs/>
          <w:highlight w:val="yellow"/>
        </w:rPr>
        <w:t>So, if you hear "a PE mooted buyout of Company X," it means:</w:t>
      </w:r>
    </w:p>
    <w:p w14:paraId="4A156E07" w14:textId="77777777" w:rsidR="008572DB" w:rsidRPr="008572DB" w:rsidRDefault="008572DB" w:rsidP="008572DB">
      <w:pPr>
        <w:numPr>
          <w:ilvl w:val="0"/>
          <w:numId w:val="11"/>
        </w:numPr>
        <w:rPr>
          <w:highlight w:val="yellow"/>
        </w:rPr>
      </w:pPr>
      <w:r w:rsidRPr="008572DB">
        <w:rPr>
          <w:highlight w:val="yellow"/>
        </w:rPr>
        <w:t>One or more Private Equity firms have been talking about potentially buying Company X.</w:t>
      </w:r>
    </w:p>
    <w:p w14:paraId="41C8CFCB" w14:textId="77777777" w:rsidR="008572DB" w:rsidRDefault="008572DB"/>
    <w:p w14:paraId="17820313" w14:textId="77777777" w:rsidR="002B3410" w:rsidRDefault="002B3410"/>
    <w:p w14:paraId="6C0BFEBC"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2020–2021: Massive Federal Stimulus Boosted IB Revenues</w:t>
      </w:r>
    </w:p>
    <w:p w14:paraId="233869F6"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1. Fiscal Stimulus (Govt Spending)</w:t>
      </w:r>
    </w:p>
    <w:p w14:paraId="4645B8FD" w14:textId="77777777" w:rsidR="002B3410" w:rsidRPr="002B3410" w:rsidRDefault="002B3410" w:rsidP="002B3410">
      <w:pPr>
        <w:numPr>
          <w:ilvl w:val="0"/>
          <w:numId w:val="12"/>
        </w:numPr>
      </w:pPr>
      <w:r w:rsidRPr="002B3410">
        <w:rPr>
          <w:b/>
          <w:bCs/>
        </w:rPr>
        <w:t>$4+ trillion</w:t>
      </w:r>
      <w:r w:rsidRPr="002B3410">
        <w:t xml:space="preserve"> in relief packages (e.g., CARES Act, American Rescue Plan)</w:t>
      </w:r>
    </w:p>
    <w:p w14:paraId="7BD6ABB5" w14:textId="77777777" w:rsidR="002B3410" w:rsidRPr="002B3410" w:rsidRDefault="002B3410" w:rsidP="002B3410">
      <w:pPr>
        <w:numPr>
          <w:ilvl w:val="0"/>
          <w:numId w:val="12"/>
        </w:numPr>
      </w:pPr>
      <w:r w:rsidRPr="002B3410">
        <w:t>Direct payments to consumers and businesses → Stabilized economy and boosted confidence</w:t>
      </w:r>
    </w:p>
    <w:p w14:paraId="75862ADF"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2. Monetary Stimulus (Federal Reserve Actions)</w:t>
      </w:r>
    </w:p>
    <w:p w14:paraId="3727B169" w14:textId="77777777" w:rsidR="002B3410" w:rsidRPr="002B3410" w:rsidRDefault="002B3410" w:rsidP="002B3410">
      <w:pPr>
        <w:numPr>
          <w:ilvl w:val="0"/>
          <w:numId w:val="13"/>
        </w:numPr>
      </w:pPr>
      <w:r w:rsidRPr="002B3410">
        <w:t xml:space="preserve">Interest rates cut to </w:t>
      </w:r>
      <w:r w:rsidRPr="002B3410">
        <w:rPr>
          <w:b/>
          <w:bCs/>
        </w:rPr>
        <w:t>0–0.25%</w:t>
      </w:r>
      <w:r w:rsidRPr="002B3410">
        <w:t xml:space="preserve"> → Ultra-cheap borrowing</w:t>
      </w:r>
    </w:p>
    <w:p w14:paraId="08CDE17D" w14:textId="77777777" w:rsidR="002B3410" w:rsidRPr="002B3410" w:rsidRDefault="002B3410" w:rsidP="002B3410">
      <w:pPr>
        <w:numPr>
          <w:ilvl w:val="0"/>
          <w:numId w:val="13"/>
        </w:numPr>
      </w:pPr>
      <w:r w:rsidRPr="002B3410">
        <w:t xml:space="preserve">Fed bought </w:t>
      </w:r>
      <w:r w:rsidRPr="002B3410">
        <w:rPr>
          <w:b/>
          <w:bCs/>
        </w:rPr>
        <w:t>$120B/month in bonds</w:t>
      </w:r>
      <w:r w:rsidRPr="002B3410">
        <w:t xml:space="preserve"> → Flooded markets with liquidity</w:t>
      </w:r>
    </w:p>
    <w:p w14:paraId="5D5031CE" w14:textId="77777777" w:rsidR="002B3410" w:rsidRPr="002B3410" w:rsidRDefault="002B3410" w:rsidP="002B3410">
      <w:pPr>
        <w:numPr>
          <w:ilvl w:val="0"/>
          <w:numId w:val="13"/>
        </w:numPr>
      </w:pPr>
      <w:r w:rsidRPr="002B3410">
        <w:t xml:space="preserve">First-ever </w:t>
      </w:r>
      <w:r w:rsidRPr="002B3410">
        <w:rPr>
          <w:b/>
          <w:bCs/>
        </w:rPr>
        <w:t>corporate bond purchases</w:t>
      </w:r>
    </w:p>
    <w:p w14:paraId="68938AEB" w14:textId="77777777" w:rsidR="002B3410" w:rsidRPr="002B3410" w:rsidRDefault="002B3410" w:rsidP="002B3410">
      <w:r w:rsidRPr="002B3410">
        <w:pict w14:anchorId="60903564">
          <v:rect id="_x0000_i1040" style="width:0;height:1.5pt" o:hralign="center" o:hrstd="t" o:hr="t" fillcolor="#a0a0a0" stroked="f"/>
        </w:pict>
      </w:r>
    </w:p>
    <w:p w14:paraId="7F454677"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How This </w:t>
      </w:r>
      <w:proofErr w:type="spellStart"/>
      <w:r w:rsidRPr="002B3410">
        <w:rPr>
          <w:b/>
          <w:bCs/>
        </w:rPr>
        <w:t>Fueled</w:t>
      </w:r>
      <w:proofErr w:type="spellEnd"/>
      <w:r w:rsidRPr="002B3410">
        <w:rPr>
          <w:b/>
          <w:bCs/>
        </w:rPr>
        <w:t xml:space="preserve"> Investment Banking Boom:</w:t>
      </w:r>
    </w:p>
    <w:p w14:paraId="1FAD2F0E"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ECM (Equity Capital Markets)</w:t>
      </w:r>
    </w:p>
    <w:p w14:paraId="51F2EE3F" w14:textId="77777777" w:rsidR="002B3410" w:rsidRPr="002B3410" w:rsidRDefault="002B3410" w:rsidP="002B3410">
      <w:pPr>
        <w:numPr>
          <w:ilvl w:val="0"/>
          <w:numId w:val="14"/>
        </w:numPr>
      </w:pPr>
      <w:r w:rsidRPr="002B3410">
        <w:t xml:space="preserve">Record IPOs &amp; equity raises (e.g., </w:t>
      </w:r>
      <w:r w:rsidRPr="002B3410">
        <w:rPr>
          <w:b/>
          <w:bCs/>
        </w:rPr>
        <w:t>Roblox IPO, $520M</w:t>
      </w:r>
      <w:r w:rsidRPr="002B3410">
        <w:t>)</w:t>
      </w:r>
    </w:p>
    <w:p w14:paraId="6FAACFA2" w14:textId="77777777" w:rsidR="002B3410" w:rsidRPr="002B3410" w:rsidRDefault="002B3410" w:rsidP="002B3410">
      <w:pPr>
        <w:numPr>
          <w:ilvl w:val="0"/>
          <w:numId w:val="14"/>
        </w:numPr>
      </w:pPr>
      <w:r w:rsidRPr="002B3410">
        <w:t>High stock valuations + strong investor demand</w:t>
      </w:r>
    </w:p>
    <w:p w14:paraId="06EC7783" w14:textId="77777777" w:rsidR="002B3410" w:rsidRPr="002B3410" w:rsidRDefault="002B3410" w:rsidP="002B3410">
      <w:pPr>
        <w:rPr>
          <w:b/>
          <w:bCs/>
        </w:rPr>
      </w:pPr>
      <w:r w:rsidRPr="002B3410">
        <w:rPr>
          <w:rFonts w:ascii="Segoe UI Emoji" w:hAnsi="Segoe UI Emoji" w:cs="Segoe UI Emoji"/>
          <w:b/>
          <w:bCs/>
        </w:rPr>
        <w:lastRenderedPageBreak/>
        <w:t>🏦</w:t>
      </w:r>
      <w:r w:rsidRPr="002B3410">
        <w:rPr>
          <w:b/>
          <w:bCs/>
        </w:rPr>
        <w:t xml:space="preserve"> DCM (Debt Capital Markets)</w:t>
      </w:r>
    </w:p>
    <w:p w14:paraId="38B1813B" w14:textId="77777777" w:rsidR="002B3410" w:rsidRPr="002B3410" w:rsidRDefault="002B3410" w:rsidP="002B3410">
      <w:pPr>
        <w:numPr>
          <w:ilvl w:val="0"/>
          <w:numId w:val="15"/>
        </w:numPr>
      </w:pPr>
      <w:r w:rsidRPr="002B3410">
        <w:t xml:space="preserve">Corporates issued record debt (e.g., </w:t>
      </w:r>
      <w:r w:rsidRPr="002B3410">
        <w:rPr>
          <w:b/>
          <w:bCs/>
        </w:rPr>
        <w:t>Apple $14B</w:t>
      </w:r>
      <w:r w:rsidRPr="002B3410">
        <w:t xml:space="preserve"> bond) to lock in low rates</w:t>
      </w:r>
    </w:p>
    <w:p w14:paraId="0CB78775" w14:textId="77777777" w:rsidR="002B3410" w:rsidRPr="002B3410" w:rsidRDefault="002B3410" w:rsidP="002B3410">
      <w:pPr>
        <w:numPr>
          <w:ilvl w:val="0"/>
          <w:numId w:val="15"/>
        </w:numPr>
      </w:pPr>
      <w:r w:rsidRPr="002B3410">
        <w:t>JPM earned massive underwriting fees</w:t>
      </w:r>
    </w:p>
    <w:p w14:paraId="77D450DE"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M&amp;A (Mergers &amp; Acquisitions)</w:t>
      </w:r>
    </w:p>
    <w:p w14:paraId="272F4BC9" w14:textId="77777777" w:rsidR="002B3410" w:rsidRPr="002B3410" w:rsidRDefault="002B3410" w:rsidP="002B3410">
      <w:pPr>
        <w:numPr>
          <w:ilvl w:val="0"/>
          <w:numId w:val="16"/>
        </w:numPr>
      </w:pPr>
      <w:r w:rsidRPr="002B3410">
        <w:t xml:space="preserve">Companies &amp; PE firms used </w:t>
      </w:r>
      <w:r w:rsidRPr="002B3410">
        <w:rPr>
          <w:b/>
          <w:bCs/>
        </w:rPr>
        <w:t>dry powder (cash reserves)</w:t>
      </w:r>
      <w:r w:rsidRPr="002B3410">
        <w:t xml:space="preserve"> for acquisitions</w:t>
      </w:r>
    </w:p>
    <w:p w14:paraId="5C7B30AA" w14:textId="77777777" w:rsidR="002B3410" w:rsidRPr="002B3410" w:rsidRDefault="002B3410" w:rsidP="002B3410">
      <w:pPr>
        <w:numPr>
          <w:ilvl w:val="0"/>
          <w:numId w:val="16"/>
        </w:numPr>
      </w:pPr>
      <w:r w:rsidRPr="002B3410">
        <w:t>Low cost of capital + strong market = aggressive deal-making</w:t>
      </w:r>
    </w:p>
    <w:p w14:paraId="7D06D101" w14:textId="77777777" w:rsidR="002B3410" w:rsidRPr="002B3410" w:rsidRDefault="002B3410" w:rsidP="002B3410">
      <w:pPr>
        <w:numPr>
          <w:ilvl w:val="0"/>
          <w:numId w:val="16"/>
        </w:numPr>
      </w:pPr>
      <w:r w:rsidRPr="002B3410">
        <w:t xml:space="preserve">Example: </w:t>
      </w:r>
      <w:r w:rsidRPr="002B3410">
        <w:rPr>
          <w:b/>
          <w:bCs/>
        </w:rPr>
        <w:t>Salesforce-Slack $27.7B</w:t>
      </w:r>
      <w:r w:rsidRPr="002B3410">
        <w:t>, JPM was advisor</w:t>
      </w:r>
    </w:p>
    <w:p w14:paraId="098D1F1C" w14:textId="77777777" w:rsidR="002B3410" w:rsidRPr="002B3410" w:rsidRDefault="002B3410" w:rsidP="002B3410">
      <w:r w:rsidRPr="002B3410">
        <w:pict w14:anchorId="175D2974">
          <v:rect id="_x0000_i1041" style="width:0;height:1.5pt" o:hralign="center" o:hrstd="t" o:hr="t" fillcolor="#a0a0a0" stroked="f"/>
        </w:pict>
      </w:r>
    </w:p>
    <w:p w14:paraId="05EF1F83"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Why JPM Benefited the Most:</w:t>
      </w:r>
    </w:p>
    <w:p w14:paraId="419889C1" w14:textId="77777777" w:rsidR="002B3410" w:rsidRPr="002B3410" w:rsidRDefault="002B3410" w:rsidP="002B3410">
      <w:pPr>
        <w:numPr>
          <w:ilvl w:val="0"/>
          <w:numId w:val="17"/>
        </w:numPr>
      </w:pPr>
      <w:r w:rsidRPr="002B3410">
        <w:t xml:space="preserve">Top-tier franchise in </w:t>
      </w:r>
      <w:r w:rsidRPr="002B3410">
        <w:rPr>
          <w:b/>
          <w:bCs/>
        </w:rPr>
        <w:t>ECM, DCM, and M&amp;A</w:t>
      </w:r>
    </w:p>
    <w:p w14:paraId="13E98E8D" w14:textId="77777777" w:rsidR="002B3410" w:rsidRPr="002B3410" w:rsidRDefault="002B3410" w:rsidP="002B3410">
      <w:pPr>
        <w:numPr>
          <w:ilvl w:val="0"/>
          <w:numId w:val="17"/>
        </w:numPr>
      </w:pPr>
      <w:r w:rsidRPr="002B3410">
        <w:t>Strong client relationships and execution capability</w:t>
      </w:r>
    </w:p>
    <w:p w14:paraId="020E7E1C" w14:textId="77777777" w:rsidR="002B3410" w:rsidRPr="002B3410" w:rsidRDefault="002B3410" w:rsidP="002B3410">
      <w:pPr>
        <w:numPr>
          <w:ilvl w:val="0"/>
          <w:numId w:val="17"/>
        </w:numPr>
      </w:pPr>
      <w:r w:rsidRPr="002B3410">
        <w:t>Agile response to market demand during a period of historic liquidity</w:t>
      </w:r>
    </w:p>
    <w:p w14:paraId="6E869E61" w14:textId="77777777" w:rsidR="002B3410" w:rsidRDefault="002B3410"/>
    <w:p w14:paraId="404C05DD" w14:textId="77777777" w:rsidR="002B3410" w:rsidRDefault="002B3410"/>
    <w:p w14:paraId="247F9C17" w14:textId="77777777" w:rsidR="002B3410" w:rsidRDefault="002B3410"/>
    <w:p w14:paraId="4E8109E6" w14:textId="77777777" w:rsidR="002B3410" w:rsidRPr="002B3410" w:rsidRDefault="002B3410" w:rsidP="002B3410">
      <w:r w:rsidRPr="002B3410">
        <w:t>Year-to-date 2025, Healthcare IB revenues have fallen about 29% versus the same period in 2024. The main drivers are:</w:t>
      </w:r>
    </w:p>
    <w:p w14:paraId="4765A41B" w14:textId="77777777" w:rsidR="002B3410" w:rsidRPr="002B3410" w:rsidRDefault="002B3410" w:rsidP="002B3410">
      <w:r w:rsidRPr="002B3410">
        <w:pict w14:anchorId="79AB7502">
          <v:rect id="_x0000_i1056" style="width:0;height:1.5pt" o:hralign="center" o:hrstd="t" o:hr="t" fillcolor="#a0a0a0" stroked="f"/>
        </w:pict>
      </w:r>
    </w:p>
    <w:p w14:paraId="21557AB3" w14:textId="77777777" w:rsidR="002B3410" w:rsidRPr="002B3410" w:rsidRDefault="002B3410" w:rsidP="002B3410">
      <w:pPr>
        <w:rPr>
          <w:b/>
          <w:bCs/>
        </w:rPr>
      </w:pPr>
      <w:r w:rsidRPr="002B3410">
        <w:rPr>
          <w:b/>
          <w:bCs/>
        </w:rPr>
        <w:t>1. Fewer Mega-Deals</w:t>
      </w:r>
    </w:p>
    <w:p w14:paraId="6750E52A" w14:textId="77777777" w:rsidR="002B3410" w:rsidRPr="002B3410" w:rsidRDefault="002B3410" w:rsidP="002B3410">
      <w:pPr>
        <w:numPr>
          <w:ilvl w:val="0"/>
          <w:numId w:val="18"/>
        </w:numPr>
      </w:pPr>
      <w:r w:rsidRPr="002B3410">
        <w:rPr>
          <w:b/>
          <w:bCs/>
        </w:rPr>
        <w:t>2024 M&amp;A Peak:</w:t>
      </w:r>
      <w:r w:rsidRPr="002B3410">
        <w:t xml:space="preserve"> Last year saw several blockbuster transactions in Pharma and biotech—Merck-Prometheus, BMS-Karuna, Pfizer-</w:t>
      </w:r>
      <w:proofErr w:type="spellStart"/>
      <w:r w:rsidRPr="002B3410">
        <w:t>Seagen</w:t>
      </w:r>
      <w:proofErr w:type="spellEnd"/>
      <w:r w:rsidRPr="002B3410">
        <w:t>—that each generated $100–150 million+ in fees.</w:t>
      </w:r>
    </w:p>
    <w:p w14:paraId="257468AE" w14:textId="77777777" w:rsidR="002B3410" w:rsidRPr="002B3410" w:rsidRDefault="002B3410" w:rsidP="002B3410">
      <w:pPr>
        <w:numPr>
          <w:ilvl w:val="0"/>
          <w:numId w:val="18"/>
        </w:numPr>
      </w:pPr>
      <w:r w:rsidRPr="002B3410">
        <w:rPr>
          <w:b/>
          <w:bCs/>
        </w:rPr>
        <w:t>2025 Slowdown:</w:t>
      </w:r>
      <w:r w:rsidRPr="002B3410">
        <w:t xml:space="preserve"> No comparably sized deals have closed yet. The big pipelines have largely been drawn down, so the large fee pools simply aren’t there this year.</w:t>
      </w:r>
    </w:p>
    <w:p w14:paraId="7DE0AEAD" w14:textId="77777777" w:rsidR="002B3410" w:rsidRPr="002B3410" w:rsidRDefault="002B3410" w:rsidP="002B3410">
      <w:pPr>
        <w:rPr>
          <w:b/>
          <w:bCs/>
        </w:rPr>
      </w:pPr>
      <w:r w:rsidRPr="002B3410">
        <w:rPr>
          <w:b/>
          <w:bCs/>
        </w:rPr>
        <w:t>2. Higher Financing Costs &amp; Tighter Credit</w:t>
      </w:r>
    </w:p>
    <w:p w14:paraId="2F9A3063" w14:textId="77777777" w:rsidR="002B3410" w:rsidRPr="002B3410" w:rsidRDefault="002B3410" w:rsidP="002B3410">
      <w:pPr>
        <w:numPr>
          <w:ilvl w:val="0"/>
          <w:numId w:val="19"/>
        </w:numPr>
      </w:pPr>
      <w:r w:rsidRPr="002B3410">
        <w:rPr>
          <w:b/>
          <w:bCs/>
        </w:rPr>
        <w:t>Rate Environment:</w:t>
      </w:r>
      <w:r w:rsidRPr="002B3410">
        <w:t xml:space="preserve"> After 2023–24 Fed rate hikes, borrowing costs remain elevated. Healthcare companies are less inclined to tap debt markets for leveraged buyouts or large-scale roll-ups.</w:t>
      </w:r>
    </w:p>
    <w:p w14:paraId="493F2473" w14:textId="77777777" w:rsidR="002B3410" w:rsidRPr="002B3410" w:rsidRDefault="002B3410" w:rsidP="002B3410">
      <w:pPr>
        <w:numPr>
          <w:ilvl w:val="0"/>
          <w:numId w:val="19"/>
        </w:numPr>
      </w:pPr>
      <w:r w:rsidRPr="002B3410">
        <w:rPr>
          <w:b/>
          <w:bCs/>
        </w:rPr>
        <w:t>Impact on DCM:</w:t>
      </w:r>
      <w:r w:rsidRPr="002B3410">
        <w:t xml:space="preserve"> Bond and loan issuance volumes in Healthcare are down ~25% YTD, directly cutting related fees.</w:t>
      </w:r>
    </w:p>
    <w:p w14:paraId="16662B7E" w14:textId="77777777" w:rsidR="002B3410" w:rsidRPr="002B3410" w:rsidRDefault="002B3410" w:rsidP="002B3410">
      <w:pPr>
        <w:rPr>
          <w:b/>
          <w:bCs/>
        </w:rPr>
      </w:pPr>
      <w:r w:rsidRPr="002B3410">
        <w:rPr>
          <w:b/>
          <w:bCs/>
        </w:rPr>
        <w:t>3. Regulatory Headwinds &amp; Clinical Uncertainty</w:t>
      </w:r>
    </w:p>
    <w:p w14:paraId="689F40D6" w14:textId="77777777" w:rsidR="002B3410" w:rsidRPr="002B3410" w:rsidRDefault="002B3410" w:rsidP="002B3410">
      <w:pPr>
        <w:numPr>
          <w:ilvl w:val="0"/>
          <w:numId w:val="20"/>
        </w:numPr>
      </w:pPr>
      <w:r w:rsidRPr="002B3410">
        <w:rPr>
          <w:b/>
          <w:bCs/>
        </w:rPr>
        <w:t>FDA Backlog:</w:t>
      </w:r>
      <w:r w:rsidRPr="002B3410">
        <w:t xml:space="preserve"> The U.S. Food &amp; Drug Administration has faced staff shortages and procedural delays, pushing major approval decisions (and the M&amp;A or licensing deals that follow) later into the year.</w:t>
      </w:r>
    </w:p>
    <w:p w14:paraId="40873732" w14:textId="77777777" w:rsidR="002B3410" w:rsidRPr="002B3410" w:rsidRDefault="002B3410" w:rsidP="002B3410">
      <w:pPr>
        <w:numPr>
          <w:ilvl w:val="0"/>
          <w:numId w:val="20"/>
        </w:numPr>
      </w:pPr>
      <w:r w:rsidRPr="002B3410">
        <w:rPr>
          <w:b/>
          <w:bCs/>
        </w:rPr>
        <w:lastRenderedPageBreak/>
        <w:t>Valuation Caution:</w:t>
      </w:r>
      <w:r w:rsidRPr="002B3410">
        <w:t xml:space="preserve"> Biotech valuations cooled as newly listed companies missed early earnings or trial readouts, making both buyers and sellers more hesitant.</w:t>
      </w:r>
    </w:p>
    <w:p w14:paraId="1E5D50C2" w14:textId="77777777" w:rsidR="002B3410" w:rsidRPr="002B3410" w:rsidRDefault="002B3410" w:rsidP="002B3410">
      <w:pPr>
        <w:rPr>
          <w:b/>
          <w:bCs/>
        </w:rPr>
      </w:pPr>
      <w:r w:rsidRPr="002B3410">
        <w:rPr>
          <w:b/>
          <w:bCs/>
        </w:rPr>
        <w:t>4. VC &amp; IPO Drought</w:t>
      </w:r>
    </w:p>
    <w:p w14:paraId="7CEFE2E9" w14:textId="77777777" w:rsidR="002B3410" w:rsidRPr="002B3410" w:rsidRDefault="002B3410" w:rsidP="002B3410">
      <w:pPr>
        <w:numPr>
          <w:ilvl w:val="0"/>
          <w:numId w:val="21"/>
        </w:numPr>
      </w:pPr>
      <w:r w:rsidRPr="002B3410">
        <w:rPr>
          <w:b/>
          <w:bCs/>
        </w:rPr>
        <w:t>2024 SPAC/IPOs:</w:t>
      </w:r>
      <w:r w:rsidRPr="002B3410">
        <w:t xml:space="preserve"> A handful of biotech SPAC mergers and large IPOs (e.g. </w:t>
      </w:r>
      <w:proofErr w:type="spellStart"/>
      <w:r w:rsidRPr="002B3410">
        <w:t>GoodRx</w:t>
      </w:r>
      <w:proofErr w:type="spellEnd"/>
      <w:r w:rsidRPr="002B3410">
        <w:t>, 23andMe) boosted ECM fees last year.</w:t>
      </w:r>
    </w:p>
    <w:p w14:paraId="19E10CF1" w14:textId="77777777" w:rsidR="002B3410" w:rsidRPr="002B3410" w:rsidRDefault="002B3410" w:rsidP="002B3410">
      <w:pPr>
        <w:numPr>
          <w:ilvl w:val="0"/>
          <w:numId w:val="21"/>
        </w:numPr>
      </w:pPr>
      <w:r w:rsidRPr="002B3410">
        <w:rPr>
          <w:b/>
          <w:bCs/>
        </w:rPr>
        <w:t>2025 Pause:</w:t>
      </w:r>
      <w:r w:rsidRPr="002B3410">
        <w:t xml:space="preserve"> Investors have pulled back on new listings and SPAC roll-ups in life sciences until trial and reimbursement clarity improves—ECM volumes are down over 30%.</w:t>
      </w:r>
    </w:p>
    <w:p w14:paraId="69BA3C9C" w14:textId="77777777" w:rsidR="002B3410" w:rsidRPr="002B3410" w:rsidRDefault="002B3410" w:rsidP="002B3410">
      <w:r w:rsidRPr="002B3410">
        <w:pict w14:anchorId="41B4C1F1">
          <v:rect id="_x0000_i1057" style="width:0;height:1.5pt" o:hralign="center" o:hrstd="t" o:hr="t" fillcolor="#a0a0a0" stroked="f"/>
        </w:pict>
      </w:r>
    </w:p>
    <w:p w14:paraId="28B41C51" w14:textId="77777777" w:rsidR="002B3410" w:rsidRPr="002B3410" w:rsidRDefault="002B3410" w:rsidP="002B3410">
      <w:pPr>
        <w:rPr>
          <w:b/>
          <w:bCs/>
        </w:rPr>
      </w:pPr>
      <w:r w:rsidRPr="002B3410">
        <w:rPr>
          <w:b/>
          <w:bCs/>
        </w:rPr>
        <w:t>Bottom Line</w:t>
      </w:r>
    </w:p>
    <w:p w14:paraId="20AF1BA1" w14:textId="77777777" w:rsidR="002B3410" w:rsidRPr="002B3410" w:rsidRDefault="002B3410" w:rsidP="002B3410">
      <w:r w:rsidRPr="002B3410">
        <w:t>Until we see another wave of high-value M&amp;A transactions, a rollback of peak interest rates, and clearer regulatory throughput, Healthcare deal-making will likely remain muted. JPMorgan can mitigate this by focusing on:</w:t>
      </w:r>
    </w:p>
    <w:p w14:paraId="78C3BEE9" w14:textId="77777777" w:rsidR="002B3410" w:rsidRPr="002B3410" w:rsidRDefault="002B3410" w:rsidP="002B3410">
      <w:pPr>
        <w:numPr>
          <w:ilvl w:val="0"/>
          <w:numId w:val="22"/>
        </w:numPr>
      </w:pPr>
      <w:r w:rsidRPr="002B3410">
        <w:rPr>
          <w:b/>
          <w:bCs/>
        </w:rPr>
        <w:t>Mid-cap roll-up strategies</w:t>
      </w:r>
      <w:r w:rsidRPr="002B3410">
        <w:t xml:space="preserve"> (e.g., </w:t>
      </w:r>
      <w:proofErr w:type="spellStart"/>
      <w:r w:rsidRPr="002B3410">
        <w:t>medtech</w:t>
      </w:r>
      <w:proofErr w:type="spellEnd"/>
      <w:r w:rsidRPr="002B3410">
        <w:t xml:space="preserve"> consolidation) to create new deal pipelines.</w:t>
      </w:r>
    </w:p>
    <w:p w14:paraId="087FDF2B" w14:textId="77777777" w:rsidR="002B3410" w:rsidRPr="002B3410" w:rsidRDefault="002B3410" w:rsidP="002B3410">
      <w:pPr>
        <w:numPr>
          <w:ilvl w:val="0"/>
          <w:numId w:val="22"/>
        </w:numPr>
      </w:pPr>
      <w:r w:rsidRPr="002B3410">
        <w:rPr>
          <w:b/>
          <w:bCs/>
        </w:rPr>
        <w:t>Structured financing solutions</w:t>
      </w:r>
      <w:r w:rsidRPr="002B3410">
        <w:t xml:space="preserve"> (e.g., royalty </w:t>
      </w:r>
      <w:proofErr w:type="spellStart"/>
      <w:r w:rsidRPr="002B3410">
        <w:t>monetizations</w:t>
      </w:r>
      <w:proofErr w:type="spellEnd"/>
      <w:r w:rsidRPr="002B3410">
        <w:t>) that don’t rely on big M&amp;A.</w:t>
      </w:r>
    </w:p>
    <w:p w14:paraId="2CA1251A" w14:textId="77777777" w:rsidR="002B3410" w:rsidRPr="002B3410" w:rsidRDefault="002B3410" w:rsidP="002B3410">
      <w:pPr>
        <w:numPr>
          <w:ilvl w:val="0"/>
          <w:numId w:val="22"/>
        </w:numPr>
      </w:pPr>
      <w:r w:rsidRPr="002B3410">
        <w:rPr>
          <w:b/>
          <w:bCs/>
        </w:rPr>
        <w:t>Proactive deal origination</w:t>
      </w:r>
      <w:r w:rsidRPr="002B3410">
        <w:t xml:space="preserve"> via our AI “hot lists” to surface smaller but strategically valuable transactions.</w:t>
      </w:r>
    </w:p>
    <w:p w14:paraId="3D191DED" w14:textId="77777777" w:rsidR="002B3410" w:rsidRPr="002B3410" w:rsidRDefault="002B3410" w:rsidP="002B3410">
      <w:r w:rsidRPr="002B3410">
        <w:t xml:space="preserve">These tactics can help narrow the current 29% revenue gap and position us to capture the next wave of </w:t>
      </w:r>
      <w:proofErr w:type="gramStart"/>
      <w:r w:rsidRPr="002B3410">
        <w:t>Healthcare</w:t>
      </w:r>
      <w:proofErr w:type="gramEnd"/>
      <w:r w:rsidRPr="002B3410">
        <w:t xml:space="preserve"> mandates.</w:t>
      </w:r>
    </w:p>
    <w:p w14:paraId="1CAE32F6" w14:textId="77777777" w:rsidR="002B3410" w:rsidRDefault="002B3410"/>
    <w:p w14:paraId="6DBDF534" w14:textId="77777777" w:rsidR="002B3410" w:rsidRPr="002B3410" w:rsidRDefault="002B3410" w:rsidP="002B3410">
      <w:r w:rsidRPr="002B3410">
        <w:rPr>
          <w:highlight w:val="yellow"/>
        </w:rPr>
        <w:t>Dry powder” is investment</w:t>
      </w:r>
      <w:r w:rsidRPr="002B3410">
        <w:rPr>
          <w:rFonts w:ascii="Cambria Math" w:hAnsi="Cambria Math" w:cs="Cambria Math"/>
          <w:highlight w:val="yellow"/>
        </w:rPr>
        <w:t>‐</w:t>
      </w:r>
      <w:r w:rsidRPr="002B3410">
        <w:rPr>
          <w:highlight w:val="yellow"/>
        </w:rPr>
        <w:t xml:space="preserve">industry slang for </w:t>
      </w:r>
      <w:r w:rsidRPr="002B3410">
        <w:rPr>
          <w:b/>
          <w:bCs/>
          <w:highlight w:val="yellow"/>
        </w:rPr>
        <w:t>cash (or cash-equivalent capital) that’s been raised but not yet deployed</w:t>
      </w:r>
      <w:r w:rsidRPr="002B3410">
        <w:rPr>
          <w:highlight w:val="yellow"/>
        </w:rPr>
        <w:t>, typically by private-equity firms, SPACs or corporates—basically “ready-to-go” money sitting on the sidelines, waiting for the right deal.</w:t>
      </w:r>
    </w:p>
    <w:p w14:paraId="426B32EE" w14:textId="77777777" w:rsidR="002B3410" w:rsidRDefault="002B3410"/>
    <w:p w14:paraId="69FB5D5E" w14:textId="77777777" w:rsidR="003A3273" w:rsidRDefault="003A3273"/>
    <w:p w14:paraId="00052D85" w14:textId="77777777" w:rsidR="003A3273" w:rsidRPr="003A3273" w:rsidRDefault="003A3273" w:rsidP="003A3273">
      <w:pPr>
        <w:rPr>
          <w:b/>
          <w:bCs/>
        </w:rPr>
      </w:pPr>
      <w:r w:rsidRPr="003A3273">
        <w:rPr>
          <w:b/>
          <w:bCs/>
        </w:rPr>
        <w:t>2020: COVID Shock &amp; Emergency Stimulus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2514"/>
        <w:gridCol w:w="5113"/>
      </w:tblGrid>
      <w:tr w:rsidR="003A3273" w:rsidRPr="003A3273" w14:paraId="10530344" w14:textId="77777777" w:rsidTr="003A3273">
        <w:trPr>
          <w:tblHeader/>
          <w:tblCellSpacing w:w="15" w:type="dxa"/>
        </w:trPr>
        <w:tc>
          <w:tcPr>
            <w:tcW w:w="0" w:type="auto"/>
            <w:vAlign w:val="center"/>
            <w:hideMark/>
          </w:tcPr>
          <w:p w14:paraId="61AFFB64" w14:textId="77777777" w:rsidR="003A3273" w:rsidRPr="003A3273" w:rsidRDefault="003A3273" w:rsidP="003A3273">
            <w:pPr>
              <w:rPr>
                <w:b/>
                <w:bCs/>
              </w:rPr>
            </w:pPr>
            <w:r w:rsidRPr="003A3273">
              <w:rPr>
                <w:b/>
                <w:bCs/>
              </w:rPr>
              <w:t>Period</w:t>
            </w:r>
          </w:p>
        </w:tc>
        <w:tc>
          <w:tcPr>
            <w:tcW w:w="0" w:type="auto"/>
            <w:vAlign w:val="center"/>
            <w:hideMark/>
          </w:tcPr>
          <w:p w14:paraId="374C0E63" w14:textId="77777777" w:rsidR="003A3273" w:rsidRPr="003A3273" w:rsidRDefault="003A3273" w:rsidP="003A3273">
            <w:pPr>
              <w:rPr>
                <w:b/>
                <w:bCs/>
              </w:rPr>
            </w:pPr>
            <w:r w:rsidRPr="003A3273">
              <w:rPr>
                <w:b/>
                <w:bCs/>
              </w:rPr>
              <w:t>Event</w:t>
            </w:r>
          </w:p>
        </w:tc>
        <w:tc>
          <w:tcPr>
            <w:tcW w:w="0" w:type="auto"/>
            <w:vAlign w:val="center"/>
            <w:hideMark/>
          </w:tcPr>
          <w:p w14:paraId="7BD0B23F" w14:textId="77777777" w:rsidR="003A3273" w:rsidRPr="003A3273" w:rsidRDefault="003A3273" w:rsidP="003A3273">
            <w:pPr>
              <w:rPr>
                <w:b/>
                <w:bCs/>
              </w:rPr>
            </w:pPr>
            <w:r w:rsidRPr="003A3273">
              <w:rPr>
                <w:b/>
                <w:bCs/>
              </w:rPr>
              <w:t>Impact on IB</w:t>
            </w:r>
          </w:p>
        </w:tc>
      </w:tr>
      <w:tr w:rsidR="003A3273" w:rsidRPr="003A3273" w14:paraId="41F47656" w14:textId="77777777" w:rsidTr="003A3273">
        <w:trPr>
          <w:tblCellSpacing w:w="15" w:type="dxa"/>
        </w:trPr>
        <w:tc>
          <w:tcPr>
            <w:tcW w:w="0" w:type="auto"/>
            <w:vAlign w:val="center"/>
            <w:hideMark/>
          </w:tcPr>
          <w:p w14:paraId="5BB0FC3A" w14:textId="77777777" w:rsidR="003A3273" w:rsidRPr="003A3273" w:rsidRDefault="003A3273" w:rsidP="003A3273">
            <w:r w:rsidRPr="003A3273">
              <w:rPr>
                <w:b/>
                <w:bCs/>
              </w:rPr>
              <w:t>Mar 2020</w:t>
            </w:r>
          </w:p>
        </w:tc>
        <w:tc>
          <w:tcPr>
            <w:tcW w:w="0" w:type="auto"/>
            <w:vAlign w:val="center"/>
            <w:hideMark/>
          </w:tcPr>
          <w:p w14:paraId="2FC92393" w14:textId="77777777" w:rsidR="003A3273" w:rsidRPr="003A3273" w:rsidRDefault="003A3273" w:rsidP="003A3273">
            <w:r w:rsidRPr="003A3273">
              <w:rPr>
                <w:b/>
                <w:bCs/>
              </w:rPr>
              <w:t>Global pandemic declared</w:t>
            </w:r>
          </w:p>
        </w:tc>
        <w:tc>
          <w:tcPr>
            <w:tcW w:w="0" w:type="auto"/>
            <w:vAlign w:val="center"/>
            <w:hideMark/>
          </w:tcPr>
          <w:p w14:paraId="52668476" w14:textId="77777777" w:rsidR="003A3273" w:rsidRPr="003A3273" w:rsidRDefault="003A3273" w:rsidP="003A3273">
            <w:r w:rsidRPr="003A3273">
              <w:t>Markets plunged; volatility spiked.</w:t>
            </w:r>
          </w:p>
        </w:tc>
      </w:tr>
      <w:tr w:rsidR="003A3273" w:rsidRPr="003A3273" w14:paraId="0CD36F1B" w14:textId="77777777" w:rsidTr="003A3273">
        <w:trPr>
          <w:tblCellSpacing w:w="15" w:type="dxa"/>
        </w:trPr>
        <w:tc>
          <w:tcPr>
            <w:tcW w:w="0" w:type="auto"/>
            <w:vAlign w:val="center"/>
            <w:hideMark/>
          </w:tcPr>
          <w:p w14:paraId="5A6CA86B" w14:textId="77777777" w:rsidR="003A3273" w:rsidRPr="003A3273" w:rsidRDefault="003A3273" w:rsidP="003A3273">
            <w:r w:rsidRPr="003A3273">
              <w:rPr>
                <w:b/>
                <w:bCs/>
              </w:rPr>
              <w:t>Mar–Apr 2020</w:t>
            </w:r>
          </w:p>
        </w:tc>
        <w:tc>
          <w:tcPr>
            <w:tcW w:w="0" w:type="auto"/>
            <w:vAlign w:val="center"/>
            <w:hideMark/>
          </w:tcPr>
          <w:p w14:paraId="1585EF49" w14:textId="77777777" w:rsidR="003A3273" w:rsidRPr="003A3273" w:rsidRDefault="003A3273" w:rsidP="003A3273">
            <w:r w:rsidRPr="003A3273">
              <w:rPr>
                <w:b/>
                <w:bCs/>
              </w:rPr>
              <w:t>Fed cuts rates to 0–0.25%</w:t>
            </w:r>
          </w:p>
        </w:tc>
        <w:tc>
          <w:tcPr>
            <w:tcW w:w="0" w:type="auto"/>
            <w:vAlign w:val="center"/>
            <w:hideMark/>
          </w:tcPr>
          <w:p w14:paraId="4E3971E6" w14:textId="77777777" w:rsidR="003A3273" w:rsidRPr="003A3273" w:rsidRDefault="003A3273" w:rsidP="003A3273">
            <w:r w:rsidRPr="003A3273">
              <w:t>Borrowing costs collapsed → DCM activity rose as companies tapped emergency liquidity.</w:t>
            </w:r>
          </w:p>
        </w:tc>
      </w:tr>
      <w:tr w:rsidR="003A3273" w:rsidRPr="003A3273" w14:paraId="611A9D70" w14:textId="77777777" w:rsidTr="003A3273">
        <w:trPr>
          <w:tblCellSpacing w:w="15" w:type="dxa"/>
        </w:trPr>
        <w:tc>
          <w:tcPr>
            <w:tcW w:w="0" w:type="auto"/>
            <w:vAlign w:val="center"/>
            <w:hideMark/>
          </w:tcPr>
          <w:p w14:paraId="265A1D87" w14:textId="77777777" w:rsidR="003A3273" w:rsidRPr="003A3273" w:rsidRDefault="003A3273" w:rsidP="003A3273">
            <w:r w:rsidRPr="003A3273">
              <w:rPr>
                <w:b/>
                <w:bCs/>
              </w:rPr>
              <w:t>Mar 2020–Dec 2020</w:t>
            </w:r>
          </w:p>
        </w:tc>
        <w:tc>
          <w:tcPr>
            <w:tcW w:w="0" w:type="auto"/>
            <w:vAlign w:val="center"/>
            <w:hideMark/>
          </w:tcPr>
          <w:p w14:paraId="6A2B78CA" w14:textId="77777777" w:rsidR="003A3273" w:rsidRPr="003A3273" w:rsidRDefault="003A3273" w:rsidP="003A3273">
            <w:r w:rsidRPr="003A3273">
              <w:rPr>
                <w:b/>
                <w:bCs/>
              </w:rPr>
              <w:t>CARES Act ($2.2 T) &amp; related fiscal relief</w:t>
            </w:r>
          </w:p>
        </w:tc>
        <w:tc>
          <w:tcPr>
            <w:tcW w:w="0" w:type="auto"/>
            <w:vAlign w:val="center"/>
            <w:hideMark/>
          </w:tcPr>
          <w:p w14:paraId="20C5D8CB" w14:textId="77777777" w:rsidR="003A3273" w:rsidRPr="003A3273" w:rsidRDefault="003A3273" w:rsidP="003A3273">
            <w:r w:rsidRPr="003A3273">
              <w:t>Stabilized corporate balance sheets → ECM (secondary offerings) surged to raise cash.</w:t>
            </w:r>
          </w:p>
        </w:tc>
      </w:tr>
      <w:tr w:rsidR="003A3273" w:rsidRPr="003A3273" w14:paraId="1BA786DD" w14:textId="77777777" w:rsidTr="003A3273">
        <w:trPr>
          <w:tblCellSpacing w:w="15" w:type="dxa"/>
        </w:trPr>
        <w:tc>
          <w:tcPr>
            <w:tcW w:w="0" w:type="auto"/>
            <w:vAlign w:val="center"/>
            <w:hideMark/>
          </w:tcPr>
          <w:p w14:paraId="5516CCA5" w14:textId="77777777" w:rsidR="003A3273" w:rsidRPr="003A3273" w:rsidRDefault="003A3273" w:rsidP="003A3273">
            <w:r w:rsidRPr="003A3273">
              <w:rPr>
                <w:b/>
                <w:bCs/>
              </w:rPr>
              <w:t>Apr 2020 onward</w:t>
            </w:r>
          </w:p>
        </w:tc>
        <w:tc>
          <w:tcPr>
            <w:tcW w:w="0" w:type="auto"/>
            <w:vAlign w:val="center"/>
            <w:hideMark/>
          </w:tcPr>
          <w:p w14:paraId="66B5B28D" w14:textId="77777777" w:rsidR="003A3273" w:rsidRPr="003A3273" w:rsidRDefault="003A3273" w:rsidP="003A3273">
            <w:r w:rsidRPr="003A3273">
              <w:rPr>
                <w:b/>
                <w:bCs/>
              </w:rPr>
              <w:t>Fed QE at $120 B/month</w:t>
            </w:r>
          </w:p>
        </w:tc>
        <w:tc>
          <w:tcPr>
            <w:tcW w:w="0" w:type="auto"/>
            <w:vAlign w:val="center"/>
            <w:hideMark/>
          </w:tcPr>
          <w:p w14:paraId="638FB88B" w14:textId="77777777" w:rsidR="003A3273" w:rsidRPr="003A3273" w:rsidRDefault="003A3273" w:rsidP="003A3273">
            <w:r w:rsidRPr="003A3273">
              <w:t>Flooded markets with liquidity → underwriting pipelines kept open despite economic shutdown.</w:t>
            </w:r>
          </w:p>
        </w:tc>
      </w:tr>
    </w:tbl>
    <w:p w14:paraId="04ED8203" w14:textId="77777777" w:rsidR="003A3273" w:rsidRPr="003A3273" w:rsidRDefault="003A3273" w:rsidP="003A3273">
      <w:r w:rsidRPr="003A3273">
        <w:lastRenderedPageBreak/>
        <w:pict w14:anchorId="28AE83CB">
          <v:rect id="_x0000_i1084" style="width:0;height:1.5pt" o:hralign="center" o:hrstd="t" o:hr="t" fillcolor="#a0a0a0" stroked="f"/>
        </w:pict>
      </w:r>
    </w:p>
    <w:p w14:paraId="26A169A2" w14:textId="77777777" w:rsidR="003A3273" w:rsidRPr="003A3273" w:rsidRDefault="003A3273" w:rsidP="003A3273">
      <w:pPr>
        <w:rPr>
          <w:b/>
          <w:bCs/>
        </w:rPr>
      </w:pPr>
      <w:r w:rsidRPr="003A3273">
        <w:rPr>
          <w:b/>
          <w:bCs/>
        </w:rPr>
        <w:t>2021: Vaccine Rollout &amp; “Dry Powder” Boom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2484"/>
        <w:gridCol w:w="3386"/>
      </w:tblGrid>
      <w:tr w:rsidR="003A3273" w:rsidRPr="003A3273" w14:paraId="2C9447BA" w14:textId="77777777" w:rsidTr="003A3273">
        <w:trPr>
          <w:tblHeader/>
          <w:tblCellSpacing w:w="15" w:type="dxa"/>
        </w:trPr>
        <w:tc>
          <w:tcPr>
            <w:tcW w:w="0" w:type="auto"/>
            <w:vAlign w:val="center"/>
            <w:hideMark/>
          </w:tcPr>
          <w:p w14:paraId="195E3CB4" w14:textId="77777777" w:rsidR="003A3273" w:rsidRPr="003A3273" w:rsidRDefault="003A3273" w:rsidP="003A3273">
            <w:pPr>
              <w:rPr>
                <w:b/>
                <w:bCs/>
              </w:rPr>
            </w:pPr>
            <w:r w:rsidRPr="003A3273">
              <w:rPr>
                <w:b/>
                <w:bCs/>
              </w:rPr>
              <w:t>Period</w:t>
            </w:r>
          </w:p>
        </w:tc>
        <w:tc>
          <w:tcPr>
            <w:tcW w:w="0" w:type="auto"/>
            <w:vAlign w:val="center"/>
            <w:hideMark/>
          </w:tcPr>
          <w:p w14:paraId="4F4B787E" w14:textId="77777777" w:rsidR="003A3273" w:rsidRPr="003A3273" w:rsidRDefault="003A3273" w:rsidP="003A3273">
            <w:pPr>
              <w:rPr>
                <w:b/>
                <w:bCs/>
              </w:rPr>
            </w:pPr>
            <w:r w:rsidRPr="003A3273">
              <w:rPr>
                <w:b/>
                <w:bCs/>
              </w:rPr>
              <w:t>Event</w:t>
            </w:r>
          </w:p>
        </w:tc>
        <w:tc>
          <w:tcPr>
            <w:tcW w:w="0" w:type="auto"/>
            <w:vAlign w:val="center"/>
            <w:hideMark/>
          </w:tcPr>
          <w:p w14:paraId="1D5A4EF8" w14:textId="77777777" w:rsidR="003A3273" w:rsidRPr="003A3273" w:rsidRDefault="003A3273" w:rsidP="003A3273">
            <w:pPr>
              <w:rPr>
                <w:b/>
                <w:bCs/>
              </w:rPr>
            </w:pPr>
            <w:r w:rsidRPr="003A3273">
              <w:rPr>
                <w:b/>
                <w:bCs/>
              </w:rPr>
              <w:t>Impact on IB</w:t>
            </w:r>
          </w:p>
        </w:tc>
      </w:tr>
      <w:tr w:rsidR="003A3273" w:rsidRPr="003A3273" w14:paraId="0854753B" w14:textId="77777777" w:rsidTr="003A3273">
        <w:trPr>
          <w:tblCellSpacing w:w="15" w:type="dxa"/>
        </w:trPr>
        <w:tc>
          <w:tcPr>
            <w:tcW w:w="0" w:type="auto"/>
            <w:vAlign w:val="center"/>
            <w:hideMark/>
          </w:tcPr>
          <w:p w14:paraId="4F9076EC" w14:textId="77777777" w:rsidR="003A3273" w:rsidRPr="003A3273" w:rsidRDefault="003A3273" w:rsidP="003A3273">
            <w:r w:rsidRPr="003A3273">
              <w:rPr>
                <w:b/>
                <w:bCs/>
              </w:rPr>
              <w:t>Jan 2021</w:t>
            </w:r>
          </w:p>
        </w:tc>
        <w:tc>
          <w:tcPr>
            <w:tcW w:w="0" w:type="auto"/>
            <w:vAlign w:val="center"/>
            <w:hideMark/>
          </w:tcPr>
          <w:p w14:paraId="742F1918" w14:textId="77777777" w:rsidR="003A3273" w:rsidRPr="003A3273" w:rsidRDefault="003A3273" w:rsidP="003A3273">
            <w:r w:rsidRPr="003A3273">
              <w:rPr>
                <w:b/>
                <w:bCs/>
              </w:rPr>
              <w:t>Vaccine approvals (Pfizer, Moderna)</w:t>
            </w:r>
          </w:p>
        </w:tc>
        <w:tc>
          <w:tcPr>
            <w:tcW w:w="0" w:type="auto"/>
            <w:vAlign w:val="center"/>
            <w:hideMark/>
          </w:tcPr>
          <w:p w14:paraId="4DE293FF" w14:textId="77777777" w:rsidR="003A3273" w:rsidRPr="003A3273" w:rsidRDefault="003A3273" w:rsidP="003A3273">
            <w:r w:rsidRPr="003A3273">
              <w:t>Confidence rebounded → M&amp;A pipeline revived.</w:t>
            </w:r>
          </w:p>
        </w:tc>
      </w:tr>
      <w:tr w:rsidR="003A3273" w:rsidRPr="003A3273" w14:paraId="3EC2B23B" w14:textId="77777777" w:rsidTr="003A3273">
        <w:trPr>
          <w:tblCellSpacing w:w="15" w:type="dxa"/>
        </w:trPr>
        <w:tc>
          <w:tcPr>
            <w:tcW w:w="0" w:type="auto"/>
            <w:vAlign w:val="center"/>
            <w:hideMark/>
          </w:tcPr>
          <w:p w14:paraId="2B2218E0" w14:textId="77777777" w:rsidR="003A3273" w:rsidRPr="003A3273" w:rsidRDefault="003A3273" w:rsidP="003A3273">
            <w:r w:rsidRPr="003A3273">
              <w:rPr>
                <w:b/>
                <w:bCs/>
              </w:rPr>
              <w:t>Q1–Q4 2021</w:t>
            </w:r>
          </w:p>
        </w:tc>
        <w:tc>
          <w:tcPr>
            <w:tcW w:w="0" w:type="auto"/>
            <w:vAlign w:val="center"/>
            <w:hideMark/>
          </w:tcPr>
          <w:p w14:paraId="562104F1" w14:textId="77777777" w:rsidR="003A3273" w:rsidRPr="003A3273" w:rsidRDefault="003A3273" w:rsidP="003A3273">
            <w:r w:rsidRPr="003A3273">
              <w:rPr>
                <w:b/>
                <w:bCs/>
              </w:rPr>
              <w:t>Record PE/VC fundraising (&gt; $1.2 T)</w:t>
            </w:r>
          </w:p>
        </w:tc>
        <w:tc>
          <w:tcPr>
            <w:tcW w:w="0" w:type="auto"/>
            <w:vAlign w:val="center"/>
            <w:hideMark/>
          </w:tcPr>
          <w:p w14:paraId="4BC77AE6" w14:textId="77777777" w:rsidR="003A3273" w:rsidRPr="003A3273" w:rsidRDefault="003A3273" w:rsidP="003A3273">
            <w:r w:rsidRPr="003A3273">
              <w:t>“Dry powder” drove strategic and sponsor-backed M&amp;A.</w:t>
            </w:r>
          </w:p>
        </w:tc>
      </w:tr>
      <w:tr w:rsidR="003A3273" w:rsidRPr="003A3273" w14:paraId="647FEA5D" w14:textId="77777777" w:rsidTr="003A3273">
        <w:trPr>
          <w:tblCellSpacing w:w="15" w:type="dxa"/>
        </w:trPr>
        <w:tc>
          <w:tcPr>
            <w:tcW w:w="0" w:type="auto"/>
            <w:vAlign w:val="center"/>
            <w:hideMark/>
          </w:tcPr>
          <w:p w14:paraId="4E3C51C2" w14:textId="77777777" w:rsidR="003A3273" w:rsidRPr="003A3273" w:rsidRDefault="003A3273" w:rsidP="003A3273">
            <w:r w:rsidRPr="003A3273">
              <w:rPr>
                <w:b/>
                <w:bCs/>
              </w:rPr>
              <w:t>Q1–Q3 2021</w:t>
            </w:r>
          </w:p>
        </w:tc>
        <w:tc>
          <w:tcPr>
            <w:tcW w:w="0" w:type="auto"/>
            <w:vAlign w:val="center"/>
            <w:hideMark/>
          </w:tcPr>
          <w:p w14:paraId="7B194E86" w14:textId="77777777" w:rsidR="003A3273" w:rsidRPr="003A3273" w:rsidRDefault="003A3273" w:rsidP="003A3273">
            <w:r w:rsidRPr="003A3273">
              <w:rPr>
                <w:b/>
                <w:bCs/>
              </w:rPr>
              <w:t>SPAC wave (600+ SPACs, $160 B raised)</w:t>
            </w:r>
          </w:p>
        </w:tc>
        <w:tc>
          <w:tcPr>
            <w:tcW w:w="0" w:type="auto"/>
            <w:vAlign w:val="center"/>
            <w:hideMark/>
          </w:tcPr>
          <w:p w14:paraId="14E65CB9" w14:textId="77777777" w:rsidR="003A3273" w:rsidRPr="003A3273" w:rsidRDefault="003A3273" w:rsidP="003A3273">
            <w:r w:rsidRPr="003A3273">
              <w:t>ECM frenzy—SPAC mergers, de-SPAC deals dominated.</w:t>
            </w:r>
          </w:p>
        </w:tc>
      </w:tr>
      <w:tr w:rsidR="003A3273" w:rsidRPr="003A3273" w14:paraId="0E8929A8" w14:textId="77777777" w:rsidTr="003A3273">
        <w:trPr>
          <w:tblCellSpacing w:w="15" w:type="dxa"/>
        </w:trPr>
        <w:tc>
          <w:tcPr>
            <w:tcW w:w="0" w:type="auto"/>
            <w:vAlign w:val="center"/>
            <w:hideMark/>
          </w:tcPr>
          <w:p w14:paraId="1A4EE4BA" w14:textId="77777777" w:rsidR="003A3273" w:rsidRPr="003A3273" w:rsidRDefault="003A3273" w:rsidP="003A3273">
            <w:r w:rsidRPr="003A3273">
              <w:rPr>
                <w:b/>
                <w:bCs/>
              </w:rPr>
              <w:t>Throughout 2021</w:t>
            </w:r>
          </w:p>
        </w:tc>
        <w:tc>
          <w:tcPr>
            <w:tcW w:w="0" w:type="auto"/>
            <w:vAlign w:val="center"/>
            <w:hideMark/>
          </w:tcPr>
          <w:p w14:paraId="5FA97F79" w14:textId="77777777" w:rsidR="003A3273" w:rsidRPr="003A3273" w:rsidRDefault="003A3273" w:rsidP="003A3273">
            <w:r w:rsidRPr="003A3273">
              <w:rPr>
                <w:b/>
                <w:bCs/>
              </w:rPr>
              <w:t>Zero rates &amp; continued QE</w:t>
            </w:r>
          </w:p>
        </w:tc>
        <w:tc>
          <w:tcPr>
            <w:tcW w:w="0" w:type="auto"/>
            <w:vAlign w:val="center"/>
            <w:hideMark/>
          </w:tcPr>
          <w:p w14:paraId="048C1EE0" w14:textId="77777777" w:rsidR="003A3273" w:rsidRPr="003A3273" w:rsidRDefault="003A3273" w:rsidP="003A3273">
            <w:r w:rsidRPr="003A3273">
              <w:t xml:space="preserve">Cheap capital </w:t>
            </w:r>
            <w:proofErr w:type="spellStart"/>
            <w:r w:rsidRPr="003A3273">
              <w:t>fueled</w:t>
            </w:r>
            <w:proofErr w:type="spellEnd"/>
            <w:r w:rsidRPr="003A3273">
              <w:t xml:space="preserve"> bond issuances (DCM) and refinancing.</w:t>
            </w:r>
          </w:p>
        </w:tc>
      </w:tr>
      <w:tr w:rsidR="003A3273" w:rsidRPr="003A3273" w14:paraId="7CC08AC4" w14:textId="77777777" w:rsidTr="003A3273">
        <w:trPr>
          <w:tblCellSpacing w:w="15" w:type="dxa"/>
        </w:trPr>
        <w:tc>
          <w:tcPr>
            <w:tcW w:w="0" w:type="auto"/>
            <w:vAlign w:val="center"/>
            <w:hideMark/>
          </w:tcPr>
          <w:p w14:paraId="3F0FC0F0" w14:textId="77777777" w:rsidR="003A3273" w:rsidRPr="003A3273" w:rsidRDefault="003A3273" w:rsidP="003A3273">
            <w:r w:rsidRPr="003A3273">
              <w:rPr>
                <w:b/>
                <w:bCs/>
              </w:rPr>
              <w:t>Result:</w:t>
            </w:r>
            <w:r w:rsidRPr="003A3273">
              <w:t xml:space="preserve"> JPM IB revenue </w:t>
            </w:r>
            <w:r w:rsidRPr="003A3273">
              <w:rPr>
                <w:b/>
                <w:bCs/>
              </w:rPr>
              <w:t>peaked</w:t>
            </w:r>
            <w:r w:rsidRPr="003A3273">
              <w:t xml:space="preserve"> at </w:t>
            </w:r>
            <w:r w:rsidRPr="003A3273">
              <w:rPr>
                <w:b/>
                <w:bCs/>
              </w:rPr>
              <w:t>$8.2 B</w:t>
            </w:r>
            <w:r w:rsidRPr="003A3273">
              <w:t xml:space="preserve"> (all-time high).</w:t>
            </w:r>
          </w:p>
        </w:tc>
        <w:tc>
          <w:tcPr>
            <w:tcW w:w="0" w:type="auto"/>
            <w:vAlign w:val="center"/>
            <w:hideMark/>
          </w:tcPr>
          <w:p w14:paraId="5A6985C9" w14:textId="77777777" w:rsidR="003A3273" w:rsidRPr="003A3273" w:rsidRDefault="003A3273" w:rsidP="003A3273"/>
        </w:tc>
        <w:tc>
          <w:tcPr>
            <w:tcW w:w="0" w:type="auto"/>
            <w:vAlign w:val="center"/>
            <w:hideMark/>
          </w:tcPr>
          <w:p w14:paraId="1D3E5E9E" w14:textId="77777777" w:rsidR="003A3273" w:rsidRPr="003A3273" w:rsidRDefault="003A3273" w:rsidP="003A3273"/>
        </w:tc>
      </w:tr>
    </w:tbl>
    <w:p w14:paraId="01988A53" w14:textId="77777777" w:rsidR="003A3273" w:rsidRPr="003A3273" w:rsidRDefault="003A3273" w:rsidP="003A3273">
      <w:r w:rsidRPr="003A3273">
        <w:pict w14:anchorId="4A02CBF3">
          <v:rect id="_x0000_i1085" style="width:0;height:1.5pt" o:hralign="center" o:hrstd="t" o:hr="t" fillcolor="#a0a0a0" stroked="f"/>
        </w:pict>
      </w:r>
    </w:p>
    <w:p w14:paraId="53FF5536" w14:textId="77777777" w:rsidR="003A3273" w:rsidRPr="003A3273" w:rsidRDefault="003A3273" w:rsidP="003A3273">
      <w:pPr>
        <w:rPr>
          <w:b/>
          <w:bCs/>
        </w:rPr>
      </w:pPr>
      <w:r w:rsidRPr="003A3273">
        <w:rPr>
          <w:b/>
          <w:bCs/>
        </w:rPr>
        <w:t>2022: Inflation Surge &amp; Rate Hikes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2548"/>
        <w:gridCol w:w="4220"/>
      </w:tblGrid>
      <w:tr w:rsidR="003A3273" w:rsidRPr="003A3273" w14:paraId="5024343C" w14:textId="77777777" w:rsidTr="003A3273">
        <w:trPr>
          <w:tblHeader/>
          <w:tblCellSpacing w:w="15" w:type="dxa"/>
        </w:trPr>
        <w:tc>
          <w:tcPr>
            <w:tcW w:w="0" w:type="auto"/>
            <w:vAlign w:val="center"/>
            <w:hideMark/>
          </w:tcPr>
          <w:p w14:paraId="0574E844" w14:textId="77777777" w:rsidR="003A3273" w:rsidRPr="003A3273" w:rsidRDefault="003A3273" w:rsidP="003A3273">
            <w:pPr>
              <w:rPr>
                <w:b/>
                <w:bCs/>
              </w:rPr>
            </w:pPr>
            <w:r w:rsidRPr="003A3273">
              <w:rPr>
                <w:b/>
                <w:bCs/>
              </w:rPr>
              <w:t>Period</w:t>
            </w:r>
          </w:p>
        </w:tc>
        <w:tc>
          <w:tcPr>
            <w:tcW w:w="0" w:type="auto"/>
            <w:vAlign w:val="center"/>
            <w:hideMark/>
          </w:tcPr>
          <w:p w14:paraId="70FF2A01" w14:textId="77777777" w:rsidR="003A3273" w:rsidRPr="003A3273" w:rsidRDefault="003A3273" w:rsidP="003A3273">
            <w:pPr>
              <w:rPr>
                <w:b/>
                <w:bCs/>
              </w:rPr>
            </w:pPr>
            <w:r w:rsidRPr="003A3273">
              <w:rPr>
                <w:b/>
                <w:bCs/>
              </w:rPr>
              <w:t>Event</w:t>
            </w:r>
          </w:p>
        </w:tc>
        <w:tc>
          <w:tcPr>
            <w:tcW w:w="0" w:type="auto"/>
            <w:vAlign w:val="center"/>
            <w:hideMark/>
          </w:tcPr>
          <w:p w14:paraId="07FB5623" w14:textId="77777777" w:rsidR="003A3273" w:rsidRPr="003A3273" w:rsidRDefault="003A3273" w:rsidP="003A3273">
            <w:pPr>
              <w:rPr>
                <w:b/>
                <w:bCs/>
              </w:rPr>
            </w:pPr>
            <w:r w:rsidRPr="003A3273">
              <w:rPr>
                <w:b/>
                <w:bCs/>
              </w:rPr>
              <w:t>Impact on IB</w:t>
            </w:r>
          </w:p>
        </w:tc>
      </w:tr>
      <w:tr w:rsidR="003A3273" w:rsidRPr="003A3273" w14:paraId="39D0CBA1" w14:textId="77777777" w:rsidTr="003A3273">
        <w:trPr>
          <w:tblCellSpacing w:w="15" w:type="dxa"/>
        </w:trPr>
        <w:tc>
          <w:tcPr>
            <w:tcW w:w="0" w:type="auto"/>
            <w:vAlign w:val="center"/>
            <w:hideMark/>
          </w:tcPr>
          <w:p w14:paraId="17F4D27E" w14:textId="77777777" w:rsidR="003A3273" w:rsidRPr="003A3273" w:rsidRDefault="003A3273" w:rsidP="003A3273">
            <w:r w:rsidRPr="003A3273">
              <w:rPr>
                <w:b/>
                <w:bCs/>
              </w:rPr>
              <w:t>Mar 2022</w:t>
            </w:r>
          </w:p>
        </w:tc>
        <w:tc>
          <w:tcPr>
            <w:tcW w:w="0" w:type="auto"/>
            <w:vAlign w:val="center"/>
            <w:hideMark/>
          </w:tcPr>
          <w:p w14:paraId="263BE672" w14:textId="77777777" w:rsidR="003A3273" w:rsidRPr="003A3273" w:rsidRDefault="003A3273" w:rsidP="003A3273">
            <w:r w:rsidRPr="003A3273">
              <w:rPr>
                <w:b/>
                <w:bCs/>
              </w:rPr>
              <w:t>Russia invades Ukraine</w:t>
            </w:r>
          </w:p>
        </w:tc>
        <w:tc>
          <w:tcPr>
            <w:tcW w:w="0" w:type="auto"/>
            <w:vAlign w:val="center"/>
            <w:hideMark/>
          </w:tcPr>
          <w:p w14:paraId="63045F81" w14:textId="77777777" w:rsidR="003A3273" w:rsidRPr="003A3273" w:rsidRDefault="003A3273" w:rsidP="003A3273">
            <w:r w:rsidRPr="003A3273">
              <w:t>Energy and commodity price shocks; risk-off markets.</w:t>
            </w:r>
          </w:p>
        </w:tc>
      </w:tr>
      <w:tr w:rsidR="003A3273" w:rsidRPr="003A3273" w14:paraId="3117E479" w14:textId="77777777" w:rsidTr="003A3273">
        <w:trPr>
          <w:tblCellSpacing w:w="15" w:type="dxa"/>
        </w:trPr>
        <w:tc>
          <w:tcPr>
            <w:tcW w:w="0" w:type="auto"/>
            <w:vAlign w:val="center"/>
            <w:hideMark/>
          </w:tcPr>
          <w:p w14:paraId="1A20AB51" w14:textId="77777777" w:rsidR="003A3273" w:rsidRPr="003A3273" w:rsidRDefault="003A3273" w:rsidP="003A3273">
            <w:r w:rsidRPr="003A3273">
              <w:rPr>
                <w:b/>
                <w:bCs/>
              </w:rPr>
              <w:t>Mar–Nov 2022</w:t>
            </w:r>
          </w:p>
        </w:tc>
        <w:tc>
          <w:tcPr>
            <w:tcW w:w="0" w:type="auto"/>
            <w:vAlign w:val="center"/>
            <w:hideMark/>
          </w:tcPr>
          <w:p w14:paraId="7259155E" w14:textId="77777777" w:rsidR="003A3273" w:rsidRPr="003A3273" w:rsidRDefault="003A3273" w:rsidP="003A3273">
            <w:r w:rsidRPr="003A3273">
              <w:rPr>
                <w:b/>
                <w:bCs/>
              </w:rPr>
              <w:t>Fed raises rates from 0.25% to ~4.5%</w:t>
            </w:r>
          </w:p>
        </w:tc>
        <w:tc>
          <w:tcPr>
            <w:tcW w:w="0" w:type="auto"/>
            <w:vAlign w:val="center"/>
            <w:hideMark/>
          </w:tcPr>
          <w:p w14:paraId="5E95BA45" w14:textId="77777777" w:rsidR="003A3273" w:rsidRPr="003A3273" w:rsidRDefault="003A3273" w:rsidP="003A3273">
            <w:r w:rsidRPr="003A3273">
              <w:t>Borrowing costs spiked → DCM and leveraged-finance volumes collapsed.</w:t>
            </w:r>
          </w:p>
        </w:tc>
      </w:tr>
      <w:tr w:rsidR="003A3273" w:rsidRPr="003A3273" w14:paraId="6EA18B48" w14:textId="77777777" w:rsidTr="003A3273">
        <w:trPr>
          <w:tblCellSpacing w:w="15" w:type="dxa"/>
        </w:trPr>
        <w:tc>
          <w:tcPr>
            <w:tcW w:w="0" w:type="auto"/>
            <w:vAlign w:val="center"/>
            <w:hideMark/>
          </w:tcPr>
          <w:p w14:paraId="7CA4D603" w14:textId="77777777" w:rsidR="003A3273" w:rsidRPr="003A3273" w:rsidRDefault="003A3273" w:rsidP="003A3273">
            <w:r w:rsidRPr="003A3273">
              <w:rPr>
                <w:b/>
                <w:bCs/>
              </w:rPr>
              <w:t>H2 2022</w:t>
            </w:r>
          </w:p>
        </w:tc>
        <w:tc>
          <w:tcPr>
            <w:tcW w:w="0" w:type="auto"/>
            <w:vAlign w:val="center"/>
            <w:hideMark/>
          </w:tcPr>
          <w:p w14:paraId="5AB32C0C" w14:textId="77777777" w:rsidR="003A3273" w:rsidRPr="003A3273" w:rsidRDefault="003A3273" w:rsidP="003A3273">
            <w:r w:rsidRPr="003A3273">
              <w:rPr>
                <w:b/>
                <w:bCs/>
              </w:rPr>
              <w:t>Equity markets correction (~20% drop)</w:t>
            </w:r>
          </w:p>
        </w:tc>
        <w:tc>
          <w:tcPr>
            <w:tcW w:w="0" w:type="auto"/>
            <w:vAlign w:val="center"/>
            <w:hideMark/>
          </w:tcPr>
          <w:p w14:paraId="26ADA50C" w14:textId="77777777" w:rsidR="003A3273" w:rsidRPr="003A3273" w:rsidRDefault="003A3273" w:rsidP="003A3273">
            <w:r w:rsidRPr="003A3273">
              <w:t>IPO window shut; ECM fees plunged.</w:t>
            </w:r>
          </w:p>
        </w:tc>
      </w:tr>
      <w:tr w:rsidR="003A3273" w:rsidRPr="003A3273" w14:paraId="0E56EA8F" w14:textId="77777777" w:rsidTr="003A3273">
        <w:trPr>
          <w:tblCellSpacing w:w="15" w:type="dxa"/>
        </w:trPr>
        <w:tc>
          <w:tcPr>
            <w:tcW w:w="0" w:type="auto"/>
            <w:vAlign w:val="center"/>
            <w:hideMark/>
          </w:tcPr>
          <w:p w14:paraId="466945C3" w14:textId="77777777" w:rsidR="003A3273" w:rsidRPr="003A3273" w:rsidRDefault="003A3273" w:rsidP="003A3273">
            <w:r w:rsidRPr="003A3273">
              <w:rPr>
                <w:b/>
                <w:bCs/>
              </w:rPr>
              <w:t>Result:</w:t>
            </w:r>
            <w:r w:rsidRPr="003A3273">
              <w:t xml:space="preserve"> JPM IB revenue </w:t>
            </w:r>
            <w:r w:rsidRPr="003A3273">
              <w:rPr>
                <w:b/>
                <w:bCs/>
              </w:rPr>
              <w:t>fell</w:t>
            </w:r>
            <w:r w:rsidRPr="003A3273">
              <w:t xml:space="preserve"> to </w:t>
            </w:r>
            <w:r w:rsidRPr="003A3273">
              <w:rPr>
                <w:b/>
                <w:bCs/>
              </w:rPr>
              <w:t>$3.9 B</w:t>
            </w:r>
            <w:r w:rsidRPr="003A3273">
              <w:t>.</w:t>
            </w:r>
          </w:p>
        </w:tc>
        <w:tc>
          <w:tcPr>
            <w:tcW w:w="0" w:type="auto"/>
            <w:vAlign w:val="center"/>
            <w:hideMark/>
          </w:tcPr>
          <w:p w14:paraId="4FA62660" w14:textId="77777777" w:rsidR="003A3273" w:rsidRPr="003A3273" w:rsidRDefault="003A3273" w:rsidP="003A3273"/>
        </w:tc>
        <w:tc>
          <w:tcPr>
            <w:tcW w:w="0" w:type="auto"/>
            <w:vAlign w:val="center"/>
            <w:hideMark/>
          </w:tcPr>
          <w:p w14:paraId="341B173A" w14:textId="77777777" w:rsidR="003A3273" w:rsidRPr="003A3273" w:rsidRDefault="003A3273" w:rsidP="003A3273"/>
        </w:tc>
      </w:tr>
    </w:tbl>
    <w:p w14:paraId="3771254D" w14:textId="77777777" w:rsidR="003A3273" w:rsidRPr="003A3273" w:rsidRDefault="003A3273" w:rsidP="003A3273">
      <w:r w:rsidRPr="003A3273">
        <w:pict w14:anchorId="685714DF">
          <v:rect id="_x0000_i1086" style="width:0;height:1.5pt" o:hralign="center" o:hrstd="t" o:hr="t" fillcolor="#a0a0a0" stroked="f"/>
        </w:pict>
      </w:r>
    </w:p>
    <w:p w14:paraId="0AB0BB0A" w14:textId="77777777" w:rsidR="003A3273" w:rsidRPr="003A3273" w:rsidRDefault="003A3273" w:rsidP="003A3273">
      <w:pPr>
        <w:rPr>
          <w:b/>
          <w:bCs/>
        </w:rPr>
      </w:pPr>
      <w:r w:rsidRPr="003A3273">
        <w:rPr>
          <w:b/>
          <w:bCs/>
        </w:rPr>
        <w:t>2023: Stabilization &amp; Selective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5"/>
        <w:gridCol w:w="2438"/>
        <w:gridCol w:w="3243"/>
      </w:tblGrid>
      <w:tr w:rsidR="003A3273" w:rsidRPr="003A3273" w14:paraId="1A305594" w14:textId="77777777" w:rsidTr="003A3273">
        <w:trPr>
          <w:tblHeader/>
          <w:tblCellSpacing w:w="15" w:type="dxa"/>
        </w:trPr>
        <w:tc>
          <w:tcPr>
            <w:tcW w:w="0" w:type="auto"/>
            <w:vAlign w:val="center"/>
            <w:hideMark/>
          </w:tcPr>
          <w:p w14:paraId="39042DB9" w14:textId="77777777" w:rsidR="003A3273" w:rsidRPr="003A3273" w:rsidRDefault="003A3273" w:rsidP="003A3273">
            <w:pPr>
              <w:rPr>
                <w:b/>
                <w:bCs/>
              </w:rPr>
            </w:pPr>
            <w:r w:rsidRPr="003A3273">
              <w:rPr>
                <w:b/>
                <w:bCs/>
              </w:rPr>
              <w:t>Period</w:t>
            </w:r>
          </w:p>
        </w:tc>
        <w:tc>
          <w:tcPr>
            <w:tcW w:w="0" w:type="auto"/>
            <w:vAlign w:val="center"/>
            <w:hideMark/>
          </w:tcPr>
          <w:p w14:paraId="705AE9CC" w14:textId="77777777" w:rsidR="003A3273" w:rsidRPr="003A3273" w:rsidRDefault="003A3273" w:rsidP="003A3273">
            <w:pPr>
              <w:rPr>
                <w:b/>
                <w:bCs/>
              </w:rPr>
            </w:pPr>
            <w:r w:rsidRPr="003A3273">
              <w:rPr>
                <w:b/>
                <w:bCs/>
              </w:rPr>
              <w:t>Event</w:t>
            </w:r>
          </w:p>
        </w:tc>
        <w:tc>
          <w:tcPr>
            <w:tcW w:w="0" w:type="auto"/>
            <w:vAlign w:val="center"/>
            <w:hideMark/>
          </w:tcPr>
          <w:p w14:paraId="6AC81DE9" w14:textId="77777777" w:rsidR="003A3273" w:rsidRPr="003A3273" w:rsidRDefault="003A3273" w:rsidP="003A3273">
            <w:pPr>
              <w:rPr>
                <w:b/>
                <w:bCs/>
              </w:rPr>
            </w:pPr>
            <w:r w:rsidRPr="003A3273">
              <w:rPr>
                <w:b/>
                <w:bCs/>
              </w:rPr>
              <w:t>Impact on IB</w:t>
            </w:r>
          </w:p>
        </w:tc>
      </w:tr>
      <w:tr w:rsidR="003A3273" w:rsidRPr="003A3273" w14:paraId="4D97A0FC" w14:textId="77777777" w:rsidTr="003A3273">
        <w:trPr>
          <w:tblCellSpacing w:w="15" w:type="dxa"/>
        </w:trPr>
        <w:tc>
          <w:tcPr>
            <w:tcW w:w="0" w:type="auto"/>
            <w:vAlign w:val="center"/>
            <w:hideMark/>
          </w:tcPr>
          <w:p w14:paraId="4B4FD1D3" w14:textId="77777777" w:rsidR="003A3273" w:rsidRPr="003A3273" w:rsidRDefault="003A3273" w:rsidP="003A3273">
            <w:r w:rsidRPr="003A3273">
              <w:rPr>
                <w:b/>
                <w:bCs/>
              </w:rPr>
              <w:t>Early 2023</w:t>
            </w:r>
          </w:p>
        </w:tc>
        <w:tc>
          <w:tcPr>
            <w:tcW w:w="0" w:type="auto"/>
            <w:vAlign w:val="center"/>
            <w:hideMark/>
          </w:tcPr>
          <w:p w14:paraId="50317B4B" w14:textId="77777777" w:rsidR="003A3273" w:rsidRPr="003A3273" w:rsidRDefault="003A3273" w:rsidP="003A3273">
            <w:r w:rsidRPr="003A3273">
              <w:rPr>
                <w:b/>
                <w:bCs/>
              </w:rPr>
              <w:t>Inflation peaks (~9% CPI)</w:t>
            </w:r>
          </w:p>
        </w:tc>
        <w:tc>
          <w:tcPr>
            <w:tcW w:w="0" w:type="auto"/>
            <w:vAlign w:val="center"/>
            <w:hideMark/>
          </w:tcPr>
          <w:p w14:paraId="1553DED0" w14:textId="77777777" w:rsidR="003A3273" w:rsidRPr="003A3273" w:rsidRDefault="003A3273" w:rsidP="003A3273">
            <w:r w:rsidRPr="003A3273">
              <w:t>Continued caution in deal valuations.</w:t>
            </w:r>
          </w:p>
        </w:tc>
      </w:tr>
      <w:tr w:rsidR="003A3273" w:rsidRPr="003A3273" w14:paraId="2E28BE80" w14:textId="77777777" w:rsidTr="003A3273">
        <w:trPr>
          <w:tblCellSpacing w:w="15" w:type="dxa"/>
        </w:trPr>
        <w:tc>
          <w:tcPr>
            <w:tcW w:w="0" w:type="auto"/>
            <w:vAlign w:val="center"/>
            <w:hideMark/>
          </w:tcPr>
          <w:p w14:paraId="4D07D211" w14:textId="77777777" w:rsidR="003A3273" w:rsidRPr="003A3273" w:rsidRDefault="003A3273" w:rsidP="003A3273">
            <w:r w:rsidRPr="003A3273">
              <w:rPr>
                <w:b/>
                <w:bCs/>
              </w:rPr>
              <w:t>Jun 2023</w:t>
            </w:r>
          </w:p>
        </w:tc>
        <w:tc>
          <w:tcPr>
            <w:tcW w:w="0" w:type="auto"/>
            <w:vAlign w:val="center"/>
            <w:hideMark/>
          </w:tcPr>
          <w:p w14:paraId="4012ACF1" w14:textId="77777777" w:rsidR="003A3273" w:rsidRPr="003A3273" w:rsidRDefault="003A3273" w:rsidP="003A3273">
            <w:r w:rsidRPr="003A3273">
              <w:rPr>
                <w:b/>
                <w:bCs/>
              </w:rPr>
              <w:t>Fed pauses rate hikes at ~5.25%</w:t>
            </w:r>
          </w:p>
        </w:tc>
        <w:tc>
          <w:tcPr>
            <w:tcW w:w="0" w:type="auto"/>
            <w:vAlign w:val="center"/>
            <w:hideMark/>
          </w:tcPr>
          <w:p w14:paraId="2781806E" w14:textId="77777777" w:rsidR="003A3273" w:rsidRPr="003A3273" w:rsidRDefault="003A3273" w:rsidP="003A3273">
            <w:r w:rsidRPr="003A3273">
              <w:t>Tech and high-yield bond issuance resumed modestly.</w:t>
            </w:r>
          </w:p>
        </w:tc>
      </w:tr>
      <w:tr w:rsidR="003A3273" w:rsidRPr="003A3273" w14:paraId="0870720C" w14:textId="77777777" w:rsidTr="003A3273">
        <w:trPr>
          <w:tblCellSpacing w:w="15" w:type="dxa"/>
        </w:trPr>
        <w:tc>
          <w:tcPr>
            <w:tcW w:w="0" w:type="auto"/>
            <w:vAlign w:val="center"/>
            <w:hideMark/>
          </w:tcPr>
          <w:p w14:paraId="6C20F35D" w14:textId="77777777" w:rsidR="003A3273" w:rsidRPr="003A3273" w:rsidRDefault="003A3273" w:rsidP="003A3273">
            <w:r w:rsidRPr="003A3273">
              <w:rPr>
                <w:b/>
                <w:bCs/>
              </w:rPr>
              <w:lastRenderedPageBreak/>
              <w:t>Q3–Q4 2023</w:t>
            </w:r>
          </w:p>
        </w:tc>
        <w:tc>
          <w:tcPr>
            <w:tcW w:w="0" w:type="auto"/>
            <w:vAlign w:val="center"/>
            <w:hideMark/>
          </w:tcPr>
          <w:p w14:paraId="47251FD6" w14:textId="77777777" w:rsidR="003A3273" w:rsidRPr="003A3273" w:rsidRDefault="003A3273" w:rsidP="003A3273">
            <w:r w:rsidRPr="003A3273">
              <w:rPr>
                <w:b/>
                <w:bCs/>
              </w:rPr>
              <w:t>AI/Tech resurgence (NVIDIA, OpenAI news)</w:t>
            </w:r>
          </w:p>
        </w:tc>
        <w:tc>
          <w:tcPr>
            <w:tcW w:w="0" w:type="auto"/>
            <w:vAlign w:val="center"/>
            <w:hideMark/>
          </w:tcPr>
          <w:p w14:paraId="764321B1" w14:textId="77777777" w:rsidR="003A3273" w:rsidRPr="003A3273" w:rsidRDefault="003A3273" w:rsidP="003A3273">
            <w:r w:rsidRPr="003A3273">
              <w:t>Targeted ECM and M&amp;A in tech hubs; boutique activity rebounded.</w:t>
            </w:r>
          </w:p>
        </w:tc>
      </w:tr>
      <w:tr w:rsidR="003A3273" w:rsidRPr="003A3273" w14:paraId="0FED2D72" w14:textId="77777777" w:rsidTr="003A3273">
        <w:trPr>
          <w:tblCellSpacing w:w="15" w:type="dxa"/>
        </w:trPr>
        <w:tc>
          <w:tcPr>
            <w:tcW w:w="0" w:type="auto"/>
            <w:vAlign w:val="center"/>
            <w:hideMark/>
          </w:tcPr>
          <w:p w14:paraId="5CD3FBD1" w14:textId="77777777" w:rsidR="003A3273" w:rsidRPr="003A3273" w:rsidRDefault="003A3273" w:rsidP="003A3273">
            <w:r w:rsidRPr="003A3273">
              <w:rPr>
                <w:b/>
                <w:bCs/>
              </w:rPr>
              <w:t>Result:</w:t>
            </w:r>
            <w:r w:rsidRPr="003A3273">
              <w:t xml:space="preserve"> JPM revenue held steady at </w:t>
            </w:r>
            <w:r w:rsidRPr="003A3273">
              <w:rPr>
                <w:b/>
                <w:bCs/>
              </w:rPr>
              <w:t>$3.9 B</w:t>
            </w:r>
            <w:r w:rsidRPr="003A3273">
              <w:t xml:space="preserve">, market share edged up to </w:t>
            </w:r>
            <w:r w:rsidRPr="003A3273">
              <w:rPr>
                <w:b/>
                <w:bCs/>
              </w:rPr>
              <w:t>12%</w:t>
            </w:r>
            <w:r w:rsidRPr="003A3273">
              <w:t>.</w:t>
            </w:r>
          </w:p>
        </w:tc>
        <w:tc>
          <w:tcPr>
            <w:tcW w:w="0" w:type="auto"/>
            <w:vAlign w:val="center"/>
            <w:hideMark/>
          </w:tcPr>
          <w:p w14:paraId="4B706960" w14:textId="77777777" w:rsidR="003A3273" w:rsidRPr="003A3273" w:rsidRDefault="003A3273" w:rsidP="003A3273"/>
        </w:tc>
        <w:tc>
          <w:tcPr>
            <w:tcW w:w="0" w:type="auto"/>
            <w:vAlign w:val="center"/>
            <w:hideMark/>
          </w:tcPr>
          <w:p w14:paraId="328769A8" w14:textId="77777777" w:rsidR="003A3273" w:rsidRPr="003A3273" w:rsidRDefault="003A3273" w:rsidP="003A3273"/>
        </w:tc>
      </w:tr>
    </w:tbl>
    <w:p w14:paraId="18F538F8" w14:textId="77777777" w:rsidR="003A3273" w:rsidRPr="003A3273" w:rsidRDefault="003A3273" w:rsidP="003A3273">
      <w:r w:rsidRPr="003A3273">
        <w:pict w14:anchorId="6FC8A8EB">
          <v:rect id="_x0000_i1087" style="width:0;height:1.5pt" o:hralign="center" o:hrstd="t" o:hr="t" fillcolor="#a0a0a0" stroked="f"/>
        </w:pict>
      </w:r>
    </w:p>
    <w:p w14:paraId="129751AC" w14:textId="77777777" w:rsidR="003A3273" w:rsidRPr="003A3273" w:rsidRDefault="003A3273" w:rsidP="003A3273">
      <w:pPr>
        <w:rPr>
          <w:b/>
          <w:bCs/>
        </w:rPr>
      </w:pPr>
      <w:r w:rsidRPr="003A3273">
        <w:rPr>
          <w:b/>
          <w:bCs/>
        </w:rPr>
        <w:t>2024: Rate Cut Signals &amp; Equity Rally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gridCol w:w="2363"/>
        <w:gridCol w:w="3305"/>
      </w:tblGrid>
      <w:tr w:rsidR="003A3273" w:rsidRPr="003A3273" w14:paraId="05304458" w14:textId="77777777" w:rsidTr="003A3273">
        <w:trPr>
          <w:tblHeader/>
          <w:tblCellSpacing w:w="15" w:type="dxa"/>
        </w:trPr>
        <w:tc>
          <w:tcPr>
            <w:tcW w:w="0" w:type="auto"/>
            <w:vAlign w:val="center"/>
            <w:hideMark/>
          </w:tcPr>
          <w:p w14:paraId="5224E337" w14:textId="77777777" w:rsidR="003A3273" w:rsidRPr="003A3273" w:rsidRDefault="003A3273" w:rsidP="003A3273">
            <w:pPr>
              <w:rPr>
                <w:b/>
                <w:bCs/>
              </w:rPr>
            </w:pPr>
            <w:r w:rsidRPr="003A3273">
              <w:rPr>
                <w:b/>
                <w:bCs/>
              </w:rPr>
              <w:t>Period</w:t>
            </w:r>
          </w:p>
        </w:tc>
        <w:tc>
          <w:tcPr>
            <w:tcW w:w="0" w:type="auto"/>
            <w:vAlign w:val="center"/>
            <w:hideMark/>
          </w:tcPr>
          <w:p w14:paraId="6C2D8381" w14:textId="77777777" w:rsidR="003A3273" w:rsidRPr="003A3273" w:rsidRDefault="003A3273" w:rsidP="003A3273">
            <w:pPr>
              <w:rPr>
                <w:b/>
                <w:bCs/>
              </w:rPr>
            </w:pPr>
            <w:r w:rsidRPr="003A3273">
              <w:rPr>
                <w:b/>
                <w:bCs/>
              </w:rPr>
              <w:t>Event</w:t>
            </w:r>
          </w:p>
        </w:tc>
        <w:tc>
          <w:tcPr>
            <w:tcW w:w="0" w:type="auto"/>
            <w:vAlign w:val="center"/>
            <w:hideMark/>
          </w:tcPr>
          <w:p w14:paraId="291AD37E" w14:textId="77777777" w:rsidR="003A3273" w:rsidRPr="003A3273" w:rsidRDefault="003A3273" w:rsidP="003A3273">
            <w:pPr>
              <w:rPr>
                <w:b/>
                <w:bCs/>
              </w:rPr>
            </w:pPr>
            <w:r w:rsidRPr="003A3273">
              <w:rPr>
                <w:b/>
                <w:bCs/>
              </w:rPr>
              <w:t>Impact on IB</w:t>
            </w:r>
          </w:p>
        </w:tc>
      </w:tr>
      <w:tr w:rsidR="003A3273" w:rsidRPr="003A3273" w14:paraId="38CE1ACD" w14:textId="77777777" w:rsidTr="003A3273">
        <w:trPr>
          <w:tblCellSpacing w:w="15" w:type="dxa"/>
        </w:trPr>
        <w:tc>
          <w:tcPr>
            <w:tcW w:w="0" w:type="auto"/>
            <w:vAlign w:val="center"/>
            <w:hideMark/>
          </w:tcPr>
          <w:p w14:paraId="27BAA6F5" w14:textId="77777777" w:rsidR="003A3273" w:rsidRPr="003A3273" w:rsidRDefault="003A3273" w:rsidP="003A3273">
            <w:r w:rsidRPr="003A3273">
              <w:rPr>
                <w:b/>
                <w:bCs/>
              </w:rPr>
              <w:t>Jan–Mar 2024</w:t>
            </w:r>
          </w:p>
        </w:tc>
        <w:tc>
          <w:tcPr>
            <w:tcW w:w="0" w:type="auto"/>
            <w:vAlign w:val="center"/>
            <w:hideMark/>
          </w:tcPr>
          <w:p w14:paraId="3EA3C751" w14:textId="77777777" w:rsidR="003A3273" w:rsidRPr="003A3273" w:rsidRDefault="003A3273" w:rsidP="003A3273">
            <w:r w:rsidRPr="003A3273">
              <w:rPr>
                <w:b/>
                <w:bCs/>
              </w:rPr>
              <w:t>Inflation moderates (CPI → ~4%)</w:t>
            </w:r>
          </w:p>
        </w:tc>
        <w:tc>
          <w:tcPr>
            <w:tcW w:w="0" w:type="auto"/>
            <w:vAlign w:val="center"/>
            <w:hideMark/>
          </w:tcPr>
          <w:p w14:paraId="2C223EC0" w14:textId="77777777" w:rsidR="003A3273" w:rsidRPr="003A3273" w:rsidRDefault="003A3273" w:rsidP="003A3273">
            <w:r w:rsidRPr="003A3273">
              <w:t>Markets stabilized; pipeline of mid-cap deals formed.</w:t>
            </w:r>
          </w:p>
        </w:tc>
      </w:tr>
      <w:tr w:rsidR="003A3273" w:rsidRPr="003A3273" w14:paraId="5DA79AD7" w14:textId="77777777" w:rsidTr="003A3273">
        <w:trPr>
          <w:tblCellSpacing w:w="15" w:type="dxa"/>
        </w:trPr>
        <w:tc>
          <w:tcPr>
            <w:tcW w:w="0" w:type="auto"/>
            <w:vAlign w:val="center"/>
            <w:hideMark/>
          </w:tcPr>
          <w:p w14:paraId="55E6F626" w14:textId="77777777" w:rsidR="003A3273" w:rsidRPr="003A3273" w:rsidRDefault="003A3273" w:rsidP="003A3273">
            <w:r w:rsidRPr="003A3273">
              <w:rPr>
                <w:b/>
                <w:bCs/>
              </w:rPr>
              <w:t>May 2024</w:t>
            </w:r>
          </w:p>
        </w:tc>
        <w:tc>
          <w:tcPr>
            <w:tcW w:w="0" w:type="auto"/>
            <w:vAlign w:val="center"/>
            <w:hideMark/>
          </w:tcPr>
          <w:p w14:paraId="187DFB2E" w14:textId="77777777" w:rsidR="003A3273" w:rsidRPr="003A3273" w:rsidRDefault="003A3273" w:rsidP="003A3273">
            <w:r w:rsidRPr="003A3273">
              <w:rPr>
                <w:b/>
                <w:bCs/>
              </w:rPr>
              <w:t>Fed signals potential cuts later in year</w:t>
            </w:r>
          </w:p>
        </w:tc>
        <w:tc>
          <w:tcPr>
            <w:tcW w:w="0" w:type="auto"/>
            <w:vAlign w:val="center"/>
            <w:hideMark/>
          </w:tcPr>
          <w:p w14:paraId="3419D25A" w14:textId="77777777" w:rsidR="003A3273" w:rsidRPr="003A3273" w:rsidRDefault="003A3273" w:rsidP="003A3273">
            <w:r w:rsidRPr="003A3273">
              <w:t>Debt issuance picked up; corporate buybacks resumed.</w:t>
            </w:r>
          </w:p>
        </w:tc>
      </w:tr>
      <w:tr w:rsidR="003A3273" w:rsidRPr="003A3273" w14:paraId="3DA5A481" w14:textId="77777777" w:rsidTr="003A3273">
        <w:trPr>
          <w:tblCellSpacing w:w="15" w:type="dxa"/>
        </w:trPr>
        <w:tc>
          <w:tcPr>
            <w:tcW w:w="0" w:type="auto"/>
            <w:vAlign w:val="center"/>
            <w:hideMark/>
          </w:tcPr>
          <w:p w14:paraId="01EC0346" w14:textId="77777777" w:rsidR="003A3273" w:rsidRPr="003A3273" w:rsidRDefault="003A3273" w:rsidP="003A3273">
            <w:r w:rsidRPr="003A3273">
              <w:rPr>
                <w:b/>
                <w:bCs/>
              </w:rPr>
              <w:t>Q2–Q3 2024</w:t>
            </w:r>
          </w:p>
        </w:tc>
        <w:tc>
          <w:tcPr>
            <w:tcW w:w="0" w:type="auto"/>
            <w:vAlign w:val="center"/>
            <w:hideMark/>
          </w:tcPr>
          <w:p w14:paraId="56464DC0" w14:textId="77777777" w:rsidR="003A3273" w:rsidRPr="003A3273" w:rsidRDefault="003A3273" w:rsidP="003A3273">
            <w:r w:rsidRPr="003A3273">
              <w:rPr>
                <w:b/>
                <w:bCs/>
              </w:rPr>
              <w:t>Equity indices hit new highs</w:t>
            </w:r>
          </w:p>
        </w:tc>
        <w:tc>
          <w:tcPr>
            <w:tcW w:w="0" w:type="auto"/>
            <w:vAlign w:val="center"/>
            <w:hideMark/>
          </w:tcPr>
          <w:p w14:paraId="622196DE" w14:textId="77777777" w:rsidR="003A3273" w:rsidRPr="003A3273" w:rsidRDefault="003A3273" w:rsidP="003A3273">
            <w:r w:rsidRPr="003A3273">
              <w:t>IPO teams re-activated; SPAC secondaries revived.</w:t>
            </w:r>
          </w:p>
        </w:tc>
      </w:tr>
      <w:tr w:rsidR="003A3273" w:rsidRPr="003A3273" w14:paraId="61D9603B" w14:textId="77777777" w:rsidTr="003A3273">
        <w:trPr>
          <w:tblCellSpacing w:w="15" w:type="dxa"/>
        </w:trPr>
        <w:tc>
          <w:tcPr>
            <w:tcW w:w="0" w:type="auto"/>
            <w:vAlign w:val="center"/>
            <w:hideMark/>
          </w:tcPr>
          <w:p w14:paraId="16A4CB3F" w14:textId="77777777" w:rsidR="003A3273" w:rsidRPr="003A3273" w:rsidRDefault="003A3273" w:rsidP="003A3273">
            <w:r w:rsidRPr="003A3273">
              <w:rPr>
                <w:b/>
                <w:bCs/>
              </w:rPr>
              <w:t>Late 2024</w:t>
            </w:r>
          </w:p>
        </w:tc>
        <w:tc>
          <w:tcPr>
            <w:tcW w:w="0" w:type="auto"/>
            <w:vAlign w:val="center"/>
            <w:hideMark/>
          </w:tcPr>
          <w:p w14:paraId="4B15F652" w14:textId="77777777" w:rsidR="003A3273" w:rsidRPr="003A3273" w:rsidRDefault="003A3273" w:rsidP="003A3273">
            <w:r w:rsidRPr="003A3273">
              <w:rPr>
                <w:b/>
                <w:bCs/>
              </w:rPr>
              <w:t>Healthcare and Energy M&amp;A rebound</w:t>
            </w:r>
          </w:p>
        </w:tc>
        <w:tc>
          <w:tcPr>
            <w:tcW w:w="0" w:type="auto"/>
            <w:vAlign w:val="center"/>
            <w:hideMark/>
          </w:tcPr>
          <w:p w14:paraId="249777BD" w14:textId="77777777" w:rsidR="003A3273" w:rsidRPr="003A3273" w:rsidRDefault="003A3273" w:rsidP="003A3273">
            <w:r w:rsidRPr="003A3273">
              <w:t>Blockbuster deals (Merck-Prometheus, BMS-Karuna) closed.</w:t>
            </w:r>
          </w:p>
        </w:tc>
      </w:tr>
      <w:tr w:rsidR="003A3273" w:rsidRPr="003A3273" w14:paraId="2884B368" w14:textId="77777777" w:rsidTr="003A3273">
        <w:trPr>
          <w:tblCellSpacing w:w="15" w:type="dxa"/>
        </w:trPr>
        <w:tc>
          <w:tcPr>
            <w:tcW w:w="0" w:type="auto"/>
            <w:vAlign w:val="center"/>
            <w:hideMark/>
          </w:tcPr>
          <w:p w14:paraId="6B4D97B7" w14:textId="77777777" w:rsidR="003A3273" w:rsidRPr="003A3273" w:rsidRDefault="003A3273" w:rsidP="003A3273">
            <w:r w:rsidRPr="003A3273">
              <w:rPr>
                <w:b/>
                <w:bCs/>
              </w:rPr>
              <w:t>Result:</w:t>
            </w:r>
            <w:r w:rsidRPr="003A3273">
              <w:t xml:space="preserve"> JPM revenue </w:t>
            </w:r>
            <w:r w:rsidRPr="003A3273">
              <w:rPr>
                <w:b/>
                <w:bCs/>
              </w:rPr>
              <w:t>rebounded</w:t>
            </w:r>
            <w:r w:rsidRPr="003A3273">
              <w:t xml:space="preserve"> to </w:t>
            </w:r>
            <w:r w:rsidRPr="003A3273">
              <w:rPr>
                <w:b/>
                <w:bCs/>
              </w:rPr>
              <w:t>$5.3 B</w:t>
            </w:r>
            <w:r w:rsidRPr="003A3273">
              <w:t xml:space="preserve">, market share </w:t>
            </w:r>
            <w:r w:rsidRPr="003A3273">
              <w:rPr>
                <w:b/>
                <w:bCs/>
              </w:rPr>
              <w:t>11.9%</w:t>
            </w:r>
            <w:r w:rsidRPr="003A3273">
              <w:t>.</w:t>
            </w:r>
          </w:p>
        </w:tc>
        <w:tc>
          <w:tcPr>
            <w:tcW w:w="0" w:type="auto"/>
            <w:vAlign w:val="center"/>
            <w:hideMark/>
          </w:tcPr>
          <w:p w14:paraId="1AC230FB" w14:textId="77777777" w:rsidR="003A3273" w:rsidRPr="003A3273" w:rsidRDefault="003A3273" w:rsidP="003A3273"/>
        </w:tc>
        <w:tc>
          <w:tcPr>
            <w:tcW w:w="0" w:type="auto"/>
            <w:vAlign w:val="center"/>
            <w:hideMark/>
          </w:tcPr>
          <w:p w14:paraId="26DDDD6F" w14:textId="77777777" w:rsidR="003A3273" w:rsidRPr="003A3273" w:rsidRDefault="003A3273" w:rsidP="003A3273"/>
        </w:tc>
      </w:tr>
    </w:tbl>
    <w:p w14:paraId="21A86601" w14:textId="77777777" w:rsidR="003A3273" w:rsidRDefault="003A3273"/>
    <w:p w14:paraId="52CA9DB7" w14:textId="77777777" w:rsidR="00E7637E" w:rsidRDefault="00E7637E"/>
    <w:p w14:paraId="2BBE1E3D" w14:textId="77777777" w:rsidR="00E7637E" w:rsidRDefault="00E7637E"/>
    <w:p w14:paraId="1CE670AF" w14:textId="77777777" w:rsidR="00E7637E" w:rsidRPr="00E7637E" w:rsidRDefault="00E7637E" w:rsidP="00E7637E">
      <w:pPr>
        <w:rPr>
          <w:b/>
          <w:bCs/>
        </w:rPr>
      </w:pPr>
      <w:r w:rsidRPr="00E7637E">
        <w:rPr>
          <w:b/>
          <w:bCs/>
        </w:rPr>
        <w:t>Consumer</w:t>
      </w:r>
    </w:p>
    <w:p w14:paraId="4F7D9C9A" w14:textId="77777777" w:rsidR="00E7637E" w:rsidRPr="00E7637E" w:rsidRDefault="00E7637E" w:rsidP="00E7637E">
      <w:pPr>
        <w:numPr>
          <w:ilvl w:val="0"/>
          <w:numId w:val="23"/>
        </w:numPr>
      </w:pPr>
      <w:r w:rsidRPr="00E7637E">
        <w:rPr>
          <w:b/>
          <w:bCs/>
        </w:rPr>
        <w:t>Retail:</w:t>
      </w:r>
      <w:r w:rsidRPr="00E7637E">
        <w:t xml:space="preserve"> Stores (online or physical) where you buy goods—groceries, clothes, electronics.</w:t>
      </w:r>
    </w:p>
    <w:p w14:paraId="20ED8E2C" w14:textId="77777777" w:rsidR="00E7637E" w:rsidRPr="00E7637E" w:rsidRDefault="00E7637E" w:rsidP="00E7637E">
      <w:pPr>
        <w:numPr>
          <w:ilvl w:val="0"/>
          <w:numId w:val="23"/>
        </w:numPr>
      </w:pPr>
      <w:r w:rsidRPr="00E7637E">
        <w:rPr>
          <w:b/>
          <w:bCs/>
        </w:rPr>
        <w:t>Consumer Products:</w:t>
      </w:r>
      <w:r w:rsidRPr="00E7637E">
        <w:t xml:space="preserve"> Companies that make packaged goods (toothpaste, soda, shampoo) that you find on store shelves.</w:t>
      </w:r>
    </w:p>
    <w:p w14:paraId="5473F9BC" w14:textId="77777777" w:rsidR="00E7637E" w:rsidRPr="00E7637E" w:rsidRDefault="00E7637E" w:rsidP="00E7637E">
      <w:pPr>
        <w:numPr>
          <w:ilvl w:val="0"/>
          <w:numId w:val="23"/>
        </w:numPr>
      </w:pPr>
      <w:r w:rsidRPr="00E7637E">
        <w:rPr>
          <w:b/>
          <w:bCs/>
        </w:rPr>
        <w:t>Business Services:</w:t>
      </w:r>
      <w:r w:rsidRPr="00E7637E">
        <w:t xml:space="preserve"> Firms you hire when you need someone else to handle things like cleaning, staffing, consulting or IT support.</w:t>
      </w:r>
    </w:p>
    <w:p w14:paraId="004093A4" w14:textId="77777777" w:rsidR="00E7637E" w:rsidRPr="00E7637E" w:rsidRDefault="00E7637E" w:rsidP="00E7637E">
      <w:r w:rsidRPr="00E7637E">
        <w:pict w14:anchorId="56F02FE9">
          <v:rect id="_x0000_i1128" style="width:0;height:1.5pt" o:hralign="center" o:hrstd="t" o:hr="t" fillcolor="#a0a0a0" stroked="f"/>
        </w:pict>
      </w:r>
    </w:p>
    <w:p w14:paraId="486CB519" w14:textId="77777777" w:rsidR="00E7637E" w:rsidRPr="00E7637E" w:rsidRDefault="00E7637E" w:rsidP="00E7637E">
      <w:pPr>
        <w:rPr>
          <w:b/>
          <w:bCs/>
        </w:rPr>
      </w:pPr>
      <w:r w:rsidRPr="00E7637E">
        <w:rPr>
          <w:b/>
          <w:bCs/>
        </w:rPr>
        <w:t>Industrial &amp; Materials</w:t>
      </w:r>
    </w:p>
    <w:p w14:paraId="0D6C549B" w14:textId="77777777" w:rsidR="00E7637E" w:rsidRPr="00E7637E" w:rsidRDefault="00E7637E" w:rsidP="00E7637E">
      <w:pPr>
        <w:numPr>
          <w:ilvl w:val="0"/>
          <w:numId w:val="24"/>
        </w:numPr>
      </w:pPr>
      <w:r w:rsidRPr="00E7637E">
        <w:rPr>
          <w:b/>
          <w:bCs/>
        </w:rPr>
        <w:t xml:space="preserve">Aerospace &amp; </w:t>
      </w:r>
      <w:proofErr w:type="spellStart"/>
      <w:r w:rsidRPr="00E7637E">
        <w:rPr>
          <w:b/>
          <w:bCs/>
        </w:rPr>
        <w:t>Defense</w:t>
      </w:r>
      <w:proofErr w:type="spellEnd"/>
      <w:r w:rsidRPr="00E7637E">
        <w:rPr>
          <w:b/>
          <w:bCs/>
        </w:rPr>
        <w:t>:</w:t>
      </w:r>
      <w:r w:rsidRPr="00E7637E">
        <w:t xml:space="preserve"> Builders of airplanes, rockets and military equipment used by airlines and armed forces.</w:t>
      </w:r>
    </w:p>
    <w:p w14:paraId="0FF67BFA" w14:textId="77777777" w:rsidR="00E7637E" w:rsidRPr="00E7637E" w:rsidRDefault="00E7637E" w:rsidP="00E7637E">
      <w:pPr>
        <w:numPr>
          <w:ilvl w:val="0"/>
          <w:numId w:val="24"/>
        </w:numPr>
      </w:pPr>
      <w:r w:rsidRPr="00E7637E">
        <w:rPr>
          <w:b/>
          <w:bCs/>
        </w:rPr>
        <w:lastRenderedPageBreak/>
        <w:t>Automotive:</w:t>
      </w:r>
      <w:r w:rsidRPr="00E7637E">
        <w:t xml:space="preserve"> Makers of cars, trucks and auto parts, plus the dealer networks that sell and service them.</w:t>
      </w:r>
    </w:p>
    <w:p w14:paraId="7DFEEC19" w14:textId="77777777" w:rsidR="00E7637E" w:rsidRPr="00E7637E" w:rsidRDefault="00E7637E" w:rsidP="00E7637E">
      <w:pPr>
        <w:numPr>
          <w:ilvl w:val="0"/>
          <w:numId w:val="24"/>
        </w:numPr>
      </w:pPr>
      <w:r w:rsidRPr="00E7637E">
        <w:rPr>
          <w:b/>
          <w:bCs/>
        </w:rPr>
        <w:t>Basic Materials:</w:t>
      </w:r>
      <w:r w:rsidRPr="00E7637E">
        <w:t xml:space="preserve"> Producers of bulk items like paper, cardboard, plastic pellets—think “stuff packaging is made from.”</w:t>
      </w:r>
    </w:p>
    <w:p w14:paraId="37B489D2" w14:textId="77777777" w:rsidR="00E7637E" w:rsidRPr="00E7637E" w:rsidRDefault="00E7637E" w:rsidP="00E7637E">
      <w:pPr>
        <w:numPr>
          <w:ilvl w:val="0"/>
          <w:numId w:val="24"/>
        </w:numPr>
      </w:pPr>
      <w:r w:rsidRPr="00E7637E">
        <w:rPr>
          <w:b/>
          <w:bCs/>
        </w:rPr>
        <w:t>Chemicals:</w:t>
      </w:r>
      <w:r w:rsidRPr="00E7637E">
        <w:t xml:space="preserve"> Factories that turn oil and minerals into things like paint, fertilizer, cleaning agents and cosmetics ingredients.</w:t>
      </w:r>
    </w:p>
    <w:p w14:paraId="2418182E" w14:textId="77777777" w:rsidR="00E7637E" w:rsidRPr="00E7637E" w:rsidRDefault="00E7637E" w:rsidP="00E7637E">
      <w:pPr>
        <w:numPr>
          <w:ilvl w:val="0"/>
          <w:numId w:val="24"/>
        </w:numPr>
      </w:pPr>
      <w:r w:rsidRPr="00E7637E">
        <w:rPr>
          <w:b/>
          <w:bCs/>
        </w:rPr>
        <w:t>Industrials:</w:t>
      </w:r>
      <w:r w:rsidRPr="00E7637E">
        <w:t xml:space="preserve"> Companies that build heavy machinery and equipment (factory robots, cranes, pumps) used in manufacturing and construction.</w:t>
      </w:r>
    </w:p>
    <w:p w14:paraId="4B645CD9" w14:textId="77777777" w:rsidR="00E7637E" w:rsidRPr="00E7637E" w:rsidRDefault="00E7637E" w:rsidP="00E7637E">
      <w:pPr>
        <w:numPr>
          <w:ilvl w:val="0"/>
          <w:numId w:val="24"/>
        </w:numPr>
      </w:pPr>
      <w:r w:rsidRPr="00E7637E">
        <w:rPr>
          <w:b/>
          <w:bCs/>
        </w:rPr>
        <w:t>Metals:</w:t>
      </w:r>
      <w:r w:rsidRPr="00E7637E">
        <w:t xml:space="preserve"> Miners and mills that dig up and refine steel, </w:t>
      </w:r>
      <w:proofErr w:type="spellStart"/>
      <w:r w:rsidRPr="00E7637E">
        <w:t>aluminum</w:t>
      </w:r>
      <w:proofErr w:type="spellEnd"/>
      <w:r w:rsidRPr="00E7637E">
        <w:t>, copper, and other metals for everything from cars to buildings.</w:t>
      </w:r>
    </w:p>
    <w:p w14:paraId="644ADD40" w14:textId="77777777" w:rsidR="00E7637E" w:rsidRPr="00E7637E" w:rsidRDefault="00E7637E" w:rsidP="00E7637E">
      <w:pPr>
        <w:numPr>
          <w:ilvl w:val="0"/>
          <w:numId w:val="24"/>
        </w:numPr>
      </w:pPr>
      <w:r w:rsidRPr="00E7637E">
        <w:rPr>
          <w:b/>
          <w:bCs/>
        </w:rPr>
        <w:t>Transportation:</w:t>
      </w:r>
      <w:r w:rsidRPr="00E7637E">
        <w:t xml:space="preserve"> Businesses that move people or goods—railroads, shipping lines, trucking companies, even airlines.</w:t>
      </w:r>
    </w:p>
    <w:p w14:paraId="2716DA16" w14:textId="77777777" w:rsidR="00E7637E" w:rsidRPr="00E7637E" w:rsidRDefault="00E7637E" w:rsidP="00E7637E">
      <w:pPr>
        <w:numPr>
          <w:ilvl w:val="0"/>
          <w:numId w:val="24"/>
        </w:numPr>
      </w:pPr>
      <w:r w:rsidRPr="00E7637E">
        <w:rPr>
          <w:b/>
          <w:bCs/>
        </w:rPr>
        <w:t>Diversified Conglomerates:</w:t>
      </w:r>
      <w:r w:rsidRPr="00E7637E">
        <w:t xml:space="preserve"> Big groups that own pieces of several different industries, like a mini-basket of many business types.</w:t>
      </w:r>
    </w:p>
    <w:p w14:paraId="32B93ECE" w14:textId="77777777" w:rsidR="00E7637E" w:rsidRPr="00E7637E" w:rsidRDefault="00E7637E" w:rsidP="00E7637E">
      <w:r w:rsidRPr="00E7637E">
        <w:pict w14:anchorId="576AE6B1">
          <v:rect id="_x0000_i1129" style="width:0;height:1.5pt" o:hralign="center" o:hrstd="t" o:hr="t" fillcolor="#a0a0a0" stroked="f"/>
        </w:pict>
      </w:r>
    </w:p>
    <w:p w14:paraId="07AB4340" w14:textId="77777777" w:rsidR="00E7637E" w:rsidRPr="00E7637E" w:rsidRDefault="00E7637E" w:rsidP="00E7637E">
      <w:pPr>
        <w:rPr>
          <w:b/>
          <w:bCs/>
        </w:rPr>
      </w:pPr>
      <w:r w:rsidRPr="00E7637E">
        <w:rPr>
          <w:b/>
          <w:bCs/>
        </w:rPr>
        <w:t>Energy &amp; Resources</w:t>
      </w:r>
    </w:p>
    <w:p w14:paraId="503F9CA1" w14:textId="77777777" w:rsidR="00E7637E" w:rsidRPr="00E7637E" w:rsidRDefault="00E7637E" w:rsidP="00E7637E">
      <w:pPr>
        <w:numPr>
          <w:ilvl w:val="0"/>
          <w:numId w:val="25"/>
        </w:numPr>
      </w:pPr>
      <w:r w:rsidRPr="00E7637E">
        <w:rPr>
          <w:b/>
          <w:bCs/>
        </w:rPr>
        <w:t>Energy:</w:t>
      </w:r>
      <w:r w:rsidRPr="00E7637E">
        <w:t xml:space="preserve"> Oil and gas explorers, drillers, refiners—everything from getting crude oil out of the ground to selling gasoline at the pump.</w:t>
      </w:r>
    </w:p>
    <w:p w14:paraId="3368B70A" w14:textId="77777777" w:rsidR="00E7637E" w:rsidRPr="00E7637E" w:rsidRDefault="00E7637E" w:rsidP="00E7637E">
      <w:pPr>
        <w:numPr>
          <w:ilvl w:val="0"/>
          <w:numId w:val="25"/>
        </w:numPr>
      </w:pPr>
      <w:r w:rsidRPr="00E7637E">
        <w:rPr>
          <w:b/>
          <w:bCs/>
        </w:rPr>
        <w:t>Power &amp; Renewables:</w:t>
      </w:r>
      <w:r w:rsidRPr="00E7637E">
        <w:t xml:space="preserve"> Electricity providers—both traditional (coal, gas) and green (wind farms, solar farms).</w:t>
      </w:r>
    </w:p>
    <w:p w14:paraId="5342B959" w14:textId="77777777" w:rsidR="00E7637E" w:rsidRPr="00E7637E" w:rsidRDefault="00E7637E" w:rsidP="00E7637E">
      <w:pPr>
        <w:numPr>
          <w:ilvl w:val="0"/>
          <w:numId w:val="25"/>
        </w:numPr>
      </w:pPr>
      <w:r w:rsidRPr="00E7637E">
        <w:rPr>
          <w:b/>
          <w:bCs/>
        </w:rPr>
        <w:t>Mining:</w:t>
      </w:r>
      <w:r w:rsidRPr="00E7637E">
        <w:t xml:space="preserve"> Companies that dig up gold, copper, lithium and other minerals from the earth.</w:t>
      </w:r>
    </w:p>
    <w:p w14:paraId="41CD6672" w14:textId="77777777" w:rsidR="00E7637E" w:rsidRPr="00E7637E" w:rsidRDefault="00E7637E" w:rsidP="00E7637E">
      <w:pPr>
        <w:numPr>
          <w:ilvl w:val="0"/>
          <w:numId w:val="25"/>
        </w:numPr>
      </w:pPr>
      <w:r w:rsidRPr="00E7637E">
        <w:rPr>
          <w:b/>
          <w:bCs/>
        </w:rPr>
        <w:t>Forestry &amp; Agriculture (Natural Resources):</w:t>
      </w:r>
      <w:r w:rsidRPr="00E7637E">
        <w:t xml:space="preserve"> Firms that grow, harvest and sell timber, paper products, grains and farm commodities.</w:t>
      </w:r>
    </w:p>
    <w:p w14:paraId="7FDFF874" w14:textId="77777777" w:rsidR="00E7637E" w:rsidRPr="00E7637E" w:rsidRDefault="00E7637E" w:rsidP="00E7637E">
      <w:r w:rsidRPr="00E7637E">
        <w:pict w14:anchorId="3B210777">
          <v:rect id="_x0000_i1130" style="width:0;height:1.5pt" o:hralign="center" o:hrstd="t" o:hr="t" fillcolor="#a0a0a0" stroked="f"/>
        </w:pict>
      </w:r>
    </w:p>
    <w:p w14:paraId="4E4B8090" w14:textId="77777777" w:rsidR="00E7637E" w:rsidRPr="00E7637E" w:rsidRDefault="00E7637E" w:rsidP="00E7637E">
      <w:pPr>
        <w:rPr>
          <w:b/>
          <w:bCs/>
        </w:rPr>
      </w:pPr>
      <w:r w:rsidRPr="00E7637E">
        <w:rPr>
          <w:b/>
          <w:bCs/>
        </w:rPr>
        <w:t>Financial Institutions (FIG)</w:t>
      </w:r>
    </w:p>
    <w:p w14:paraId="418FE90E" w14:textId="77777777" w:rsidR="00E7637E" w:rsidRPr="00E7637E" w:rsidRDefault="00E7637E" w:rsidP="00E7637E">
      <w:pPr>
        <w:numPr>
          <w:ilvl w:val="0"/>
          <w:numId w:val="26"/>
        </w:numPr>
      </w:pPr>
      <w:r w:rsidRPr="00E7637E">
        <w:rPr>
          <w:b/>
          <w:bCs/>
        </w:rPr>
        <w:t>Banks:</w:t>
      </w:r>
      <w:r w:rsidRPr="00E7637E">
        <w:t xml:space="preserve"> The big firms you use for checking accounts, loans and credit cards, plus corporate lending.</w:t>
      </w:r>
    </w:p>
    <w:p w14:paraId="48ECA8A2" w14:textId="77777777" w:rsidR="00E7637E" w:rsidRPr="00E7637E" w:rsidRDefault="00E7637E" w:rsidP="00E7637E">
      <w:pPr>
        <w:numPr>
          <w:ilvl w:val="0"/>
          <w:numId w:val="26"/>
        </w:numPr>
      </w:pPr>
      <w:r w:rsidRPr="00E7637E">
        <w:rPr>
          <w:b/>
          <w:bCs/>
        </w:rPr>
        <w:t>Insurance:</w:t>
      </w:r>
      <w:r w:rsidRPr="00E7637E">
        <w:t xml:space="preserve"> Companies you pay premiums to, in exchange for protection against car wrecks, house fires, health events, etc.</w:t>
      </w:r>
    </w:p>
    <w:p w14:paraId="3A0E33EE" w14:textId="77777777" w:rsidR="00E7637E" w:rsidRPr="00E7637E" w:rsidRDefault="00E7637E" w:rsidP="00E7637E">
      <w:pPr>
        <w:numPr>
          <w:ilvl w:val="0"/>
          <w:numId w:val="26"/>
        </w:numPr>
      </w:pPr>
      <w:r w:rsidRPr="00E7637E">
        <w:rPr>
          <w:b/>
          <w:bCs/>
        </w:rPr>
        <w:t>Specialty Finance:</w:t>
      </w:r>
      <w:r w:rsidRPr="00E7637E">
        <w:t xml:space="preserve"> Lenders focused on niche areas—like financing big equipment purchases or offering store credit cards.</w:t>
      </w:r>
    </w:p>
    <w:p w14:paraId="4DEB0C93" w14:textId="77777777" w:rsidR="00E7637E" w:rsidRPr="00E7637E" w:rsidRDefault="00E7637E" w:rsidP="00E7637E">
      <w:r w:rsidRPr="00E7637E">
        <w:pict w14:anchorId="7D284109">
          <v:rect id="_x0000_i1131" style="width:0;height:1.5pt" o:hralign="center" o:hrstd="t" o:hr="t" fillcolor="#a0a0a0" stroked="f"/>
        </w:pict>
      </w:r>
    </w:p>
    <w:p w14:paraId="4D4E3872" w14:textId="77777777" w:rsidR="00E7637E" w:rsidRPr="00E7637E" w:rsidRDefault="00E7637E" w:rsidP="00E7637E">
      <w:pPr>
        <w:rPr>
          <w:b/>
          <w:bCs/>
        </w:rPr>
      </w:pPr>
      <w:r w:rsidRPr="00E7637E">
        <w:rPr>
          <w:b/>
          <w:bCs/>
        </w:rPr>
        <w:t>Healthcare</w:t>
      </w:r>
    </w:p>
    <w:p w14:paraId="4CD84D79" w14:textId="77777777" w:rsidR="00E7637E" w:rsidRPr="00E7637E" w:rsidRDefault="00E7637E" w:rsidP="00E7637E">
      <w:pPr>
        <w:numPr>
          <w:ilvl w:val="0"/>
          <w:numId w:val="27"/>
        </w:numPr>
      </w:pPr>
      <w:r w:rsidRPr="00E7637E">
        <w:rPr>
          <w:b/>
          <w:bCs/>
        </w:rPr>
        <w:t>Healthcare Services:</w:t>
      </w:r>
      <w:r w:rsidRPr="00E7637E">
        <w:t xml:space="preserve"> Hospitals, clinics and labs where you get medical treatment and tests.</w:t>
      </w:r>
    </w:p>
    <w:p w14:paraId="2120EF8E" w14:textId="77777777" w:rsidR="00E7637E" w:rsidRPr="00E7637E" w:rsidRDefault="00E7637E" w:rsidP="00E7637E">
      <w:pPr>
        <w:numPr>
          <w:ilvl w:val="0"/>
          <w:numId w:val="27"/>
        </w:numPr>
      </w:pPr>
      <w:r w:rsidRPr="00E7637E">
        <w:rPr>
          <w:b/>
          <w:bCs/>
        </w:rPr>
        <w:lastRenderedPageBreak/>
        <w:t>Medical Devices:</w:t>
      </w:r>
      <w:r w:rsidRPr="00E7637E">
        <w:t xml:space="preserve"> Makers of tools and machines for medicine—like pacemakers, MRI scanners, or surgical instruments.</w:t>
      </w:r>
    </w:p>
    <w:p w14:paraId="0792D0D6" w14:textId="77777777" w:rsidR="00E7637E" w:rsidRPr="00E7637E" w:rsidRDefault="00E7637E" w:rsidP="00E7637E">
      <w:pPr>
        <w:numPr>
          <w:ilvl w:val="0"/>
          <w:numId w:val="27"/>
        </w:numPr>
      </w:pPr>
      <w:r w:rsidRPr="00E7637E">
        <w:rPr>
          <w:b/>
          <w:bCs/>
        </w:rPr>
        <w:t>Biotech &amp; Pharma:</w:t>
      </w:r>
      <w:r w:rsidRPr="00E7637E">
        <w:t xml:space="preserve"> Drug companies that discover, test and sell medicines, from pills to vaccines.</w:t>
      </w:r>
    </w:p>
    <w:p w14:paraId="266268B3" w14:textId="77777777" w:rsidR="00E7637E" w:rsidRPr="00E7637E" w:rsidRDefault="00E7637E" w:rsidP="00E7637E">
      <w:pPr>
        <w:numPr>
          <w:ilvl w:val="0"/>
          <w:numId w:val="27"/>
        </w:numPr>
      </w:pPr>
      <w:r w:rsidRPr="00E7637E">
        <w:rPr>
          <w:b/>
          <w:bCs/>
        </w:rPr>
        <w:t>Life-Science Tools &amp; Diagnostics:</w:t>
      </w:r>
      <w:r w:rsidRPr="00E7637E">
        <w:t xml:space="preserve"> The firms that build lab machines, test kits and research supplies used to develop and diagnose new treatments.</w:t>
      </w:r>
    </w:p>
    <w:p w14:paraId="28577565" w14:textId="77777777" w:rsidR="00E7637E" w:rsidRPr="00E7637E" w:rsidRDefault="00E7637E" w:rsidP="00E7637E">
      <w:r w:rsidRPr="00E7637E">
        <w:pict w14:anchorId="0C53EA30">
          <v:rect id="_x0000_i1132" style="width:0;height:1.5pt" o:hralign="center" o:hrstd="t" o:hr="t" fillcolor="#a0a0a0" stroked="f"/>
        </w:pict>
      </w:r>
    </w:p>
    <w:p w14:paraId="3E3F596A" w14:textId="77777777" w:rsidR="00E7637E" w:rsidRPr="00E7637E" w:rsidRDefault="00E7637E" w:rsidP="00E7637E">
      <w:pPr>
        <w:rPr>
          <w:b/>
          <w:bCs/>
        </w:rPr>
      </w:pPr>
      <w:r w:rsidRPr="00E7637E">
        <w:rPr>
          <w:b/>
          <w:bCs/>
        </w:rPr>
        <w:t>Technology</w:t>
      </w:r>
    </w:p>
    <w:p w14:paraId="1F561A6A" w14:textId="77777777" w:rsidR="00E7637E" w:rsidRPr="00E7637E" w:rsidRDefault="00E7637E" w:rsidP="00E7637E">
      <w:pPr>
        <w:numPr>
          <w:ilvl w:val="0"/>
          <w:numId w:val="28"/>
        </w:numPr>
      </w:pPr>
      <w:r w:rsidRPr="00E7637E">
        <w:rPr>
          <w:b/>
          <w:bCs/>
        </w:rPr>
        <w:t>Enterprise Software:</w:t>
      </w:r>
      <w:r w:rsidRPr="00E7637E">
        <w:t xml:space="preserve"> Companies that sell programs businesses use every day—think Office 365, Salesforce, or Slack.</w:t>
      </w:r>
    </w:p>
    <w:p w14:paraId="4540255B" w14:textId="77777777" w:rsidR="00E7637E" w:rsidRPr="00E7637E" w:rsidRDefault="00E7637E" w:rsidP="00E7637E">
      <w:pPr>
        <w:numPr>
          <w:ilvl w:val="0"/>
          <w:numId w:val="28"/>
        </w:numPr>
      </w:pPr>
      <w:r w:rsidRPr="00E7637E">
        <w:rPr>
          <w:b/>
          <w:bCs/>
        </w:rPr>
        <w:t>Fintech:</w:t>
      </w:r>
      <w:r w:rsidRPr="00E7637E">
        <w:t xml:space="preserve"> Tech companies that handle payments, digital wallets or online lending (e.g., PayPal, Square).</w:t>
      </w:r>
    </w:p>
    <w:p w14:paraId="48E5ED86" w14:textId="77777777" w:rsidR="00E7637E" w:rsidRPr="00E7637E" w:rsidRDefault="00E7637E" w:rsidP="00E7637E">
      <w:pPr>
        <w:numPr>
          <w:ilvl w:val="0"/>
          <w:numId w:val="28"/>
        </w:numPr>
      </w:pPr>
      <w:r w:rsidRPr="00E7637E">
        <w:rPr>
          <w:b/>
          <w:bCs/>
        </w:rPr>
        <w:t>Applied Technology:</w:t>
      </w:r>
      <w:r w:rsidRPr="00E7637E">
        <w:t xml:space="preserve"> Makers of computer hardware and infrastructure—chips, servers, network gear that power the Internet.</w:t>
      </w:r>
    </w:p>
    <w:p w14:paraId="37D602E0" w14:textId="77777777" w:rsidR="00E7637E" w:rsidRPr="00E7637E" w:rsidRDefault="00E7637E" w:rsidP="00E7637E">
      <w:pPr>
        <w:numPr>
          <w:ilvl w:val="0"/>
          <w:numId w:val="28"/>
        </w:numPr>
      </w:pPr>
      <w:r w:rsidRPr="00E7637E">
        <w:rPr>
          <w:b/>
          <w:bCs/>
        </w:rPr>
        <w:t>Consumer &amp; Industrial Tech:</w:t>
      </w:r>
      <w:r w:rsidRPr="00E7637E">
        <w:t xml:space="preserve"> Technology solutions for non-tech businesses—like factory automation systems or retail point-of-sale systems.</w:t>
      </w:r>
    </w:p>
    <w:p w14:paraId="28391302" w14:textId="77777777" w:rsidR="00E7637E" w:rsidRPr="00E7637E" w:rsidRDefault="00E7637E" w:rsidP="00E7637E">
      <w:r w:rsidRPr="00E7637E">
        <w:pict w14:anchorId="0A4BE6EB">
          <v:rect id="_x0000_i1133" style="width:0;height:1.5pt" o:hralign="center" o:hrstd="t" o:hr="t" fillcolor="#a0a0a0" stroked="f"/>
        </w:pict>
      </w:r>
    </w:p>
    <w:p w14:paraId="309B0014" w14:textId="77777777" w:rsidR="00E7637E" w:rsidRPr="00E7637E" w:rsidRDefault="00E7637E" w:rsidP="00E7637E">
      <w:pPr>
        <w:rPr>
          <w:b/>
          <w:bCs/>
        </w:rPr>
      </w:pPr>
      <w:r w:rsidRPr="00E7637E">
        <w:rPr>
          <w:b/>
          <w:bCs/>
        </w:rPr>
        <w:t>Media &amp; Communications</w:t>
      </w:r>
    </w:p>
    <w:p w14:paraId="455EDCA0" w14:textId="77777777" w:rsidR="00E7637E" w:rsidRPr="00E7637E" w:rsidRDefault="00E7637E" w:rsidP="00E7637E">
      <w:pPr>
        <w:numPr>
          <w:ilvl w:val="0"/>
          <w:numId w:val="29"/>
        </w:numPr>
      </w:pPr>
      <w:r w:rsidRPr="00E7637E">
        <w:rPr>
          <w:b/>
          <w:bCs/>
        </w:rPr>
        <w:t>Media:</w:t>
      </w:r>
      <w:r w:rsidRPr="00E7637E">
        <w:t xml:space="preserve"> Creators and distributors of entertainment and news—TV shows, movies, newspapers, streaming.</w:t>
      </w:r>
    </w:p>
    <w:p w14:paraId="6342CC66" w14:textId="77777777" w:rsidR="00E7637E" w:rsidRPr="00E7637E" w:rsidRDefault="00E7637E" w:rsidP="00E7637E">
      <w:pPr>
        <w:numPr>
          <w:ilvl w:val="0"/>
          <w:numId w:val="29"/>
        </w:numPr>
      </w:pPr>
      <w:r w:rsidRPr="00E7637E">
        <w:rPr>
          <w:b/>
          <w:bCs/>
        </w:rPr>
        <w:t>Communications:</w:t>
      </w:r>
      <w:r w:rsidRPr="00E7637E">
        <w:t xml:space="preserve"> Phone and Internet carriers that connect your calls and data.</w:t>
      </w:r>
    </w:p>
    <w:p w14:paraId="14A862F0" w14:textId="77777777" w:rsidR="00E7637E" w:rsidRPr="00E7637E" w:rsidRDefault="00E7637E" w:rsidP="00E7637E">
      <w:pPr>
        <w:numPr>
          <w:ilvl w:val="0"/>
          <w:numId w:val="29"/>
        </w:numPr>
      </w:pPr>
      <w:r w:rsidRPr="00E7637E">
        <w:rPr>
          <w:b/>
          <w:bCs/>
        </w:rPr>
        <w:t>Information Services:</w:t>
      </w:r>
      <w:r w:rsidRPr="00E7637E">
        <w:t xml:space="preserve"> Companies that sell you market data, news feeds or specialized research platforms (e.g., Bloomberg terminals).</w:t>
      </w:r>
    </w:p>
    <w:p w14:paraId="4CB39F77" w14:textId="77777777" w:rsidR="00E7637E" w:rsidRDefault="00E7637E"/>
    <w:p w14:paraId="6CD815FD" w14:textId="77777777" w:rsidR="004B1211" w:rsidRDefault="004B1211"/>
    <w:p w14:paraId="6061725B" w14:textId="77777777" w:rsidR="004B1211" w:rsidRPr="004B1211" w:rsidRDefault="004B1211" w:rsidP="004B1211">
      <w:r w:rsidRPr="004B1211">
        <w:t xml:space="preserve">when they ask me how do you come to conclusion that these </w:t>
      </w:r>
      <w:proofErr w:type="spellStart"/>
      <w:r w:rsidRPr="004B1211">
        <w:t>ar</w:t>
      </w:r>
      <w:proofErr w:type="spellEnd"/>
      <w:r w:rsidRPr="004B1211">
        <w:t xml:space="preserve"> ethe high growth sub </w:t>
      </w:r>
      <w:proofErr w:type="gramStart"/>
      <w:r w:rsidRPr="004B1211">
        <w:t>industries ,</w:t>
      </w:r>
      <w:proofErr w:type="gramEnd"/>
      <w:r w:rsidRPr="004B1211">
        <w:t xml:space="preserve"> </w:t>
      </w:r>
      <w:proofErr w:type="spellStart"/>
      <w:r w:rsidRPr="004B1211">
        <w:t>ho</w:t>
      </w:r>
      <w:proofErr w:type="spellEnd"/>
      <w:r w:rsidRPr="004B1211">
        <w:t xml:space="preserve"> shall </w:t>
      </w:r>
      <w:proofErr w:type="spellStart"/>
      <w:r w:rsidRPr="004B1211">
        <w:t>i</w:t>
      </w:r>
      <w:proofErr w:type="spellEnd"/>
      <w:r w:rsidRPr="004B1211">
        <w:t xml:space="preserve"> answer that</w:t>
      </w:r>
    </w:p>
    <w:p w14:paraId="156D03BF" w14:textId="77777777" w:rsidR="004B1211" w:rsidRPr="004B1211" w:rsidRDefault="004B1211" w:rsidP="004B1211">
      <w:pPr>
        <w:rPr>
          <w:b/>
          <w:bCs/>
        </w:rPr>
      </w:pPr>
      <w:r w:rsidRPr="004B1211">
        <w:rPr>
          <w:b/>
          <w:bCs/>
        </w:rPr>
        <w:t>ChatGPT said:</w:t>
      </w:r>
    </w:p>
    <w:p w14:paraId="12358570" w14:textId="77777777" w:rsidR="004B1211" w:rsidRPr="004B1211" w:rsidRDefault="004B1211" w:rsidP="004B1211">
      <w:r w:rsidRPr="004B1211">
        <w:t>When you’re asked “How did you pick these as the high-growth sub-sectors?” you can lean on a clear, repeatable methodology—one that clients (and auditors) will recognize as rigorous. Here’s a succinct way to explain it:</w:t>
      </w:r>
    </w:p>
    <w:p w14:paraId="2A4CE55E" w14:textId="77777777" w:rsidR="004B1211" w:rsidRPr="004B1211" w:rsidRDefault="004B1211" w:rsidP="004B1211">
      <w:r w:rsidRPr="004B1211">
        <w:pict w14:anchorId="3FD97184">
          <v:rect id="_x0000_i1170" style="width:0;height:1.5pt" o:hralign="center" o:hrstd="t" o:hr="t" fillcolor="#a0a0a0" stroked="f"/>
        </w:pict>
      </w:r>
    </w:p>
    <w:p w14:paraId="63080C28" w14:textId="77777777" w:rsidR="004B1211" w:rsidRPr="004B1211" w:rsidRDefault="004B1211" w:rsidP="004B1211">
      <w:pPr>
        <w:rPr>
          <w:b/>
          <w:bCs/>
        </w:rPr>
      </w:pPr>
      <w:r w:rsidRPr="004B1211">
        <w:rPr>
          <w:b/>
          <w:bCs/>
        </w:rPr>
        <w:t>1. Historical Growth Rates</w:t>
      </w:r>
    </w:p>
    <w:p w14:paraId="46C73F89" w14:textId="77777777" w:rsidR="004B1211" w:rsidRPr="004B1211" w:rsidRDefault="004B1211" w:rsidP="004B1211">
      <w:pPr>
        <w:numPr>
          <w:ilvl w:val="0"/>
          <w:numId w:val="30"/>
        </w:numPr>
      </w:pPr>
      <w:r w:rsidRPr="004B1211">
        <w:rPr>
          <w:b/>
          <w:bCs/>
        </w:rPr>
        <w:t>What we did:</w:t>
      </w:r>
      <w:r w:rsidRPr="004B1211">
        <w:t xml:space="preserve"> We screened every sub-industry’s revenue growth over the past 5 years (2019–2023) using public data (S&amp;P Capital IQ, company 10-Ks).</w:t>
      </w:r>
    </w:p>
    <w:p w14:paraId="64DD3EE9" w14:textId="77777777" w:rsidR="004B1211" w:rsidRPr="004B1211" w:rsidRDefault="004B1211" w:rsidP="004B1211">
      <w:pPr>
        <w:numPr>
          <w:ilvl w:val="0"/>
          <w:numId w:val="30"/>
        </w:numPr>
      </w:pPr>
      <w:r w:rsidRPr="004B1211">
        <w:rPr>
          <w:b/>
          <w:bCs/>
        </w:rPr>
        <w:lastRenderedPageBreak/>
        <w:t>Why it matters:</w:t>
      </w:r>
      <w:r w:rsidRPr="004B1211">
        <w:t xml:space="preserve"> Sub-sectors growing at </w:t>
      </w:r>
      <w:r w:rsidRPr="004B1211">
        <w:rPr>
          <w:b/>
          <w:bCs/>
        </w:rPr>
        <w:t>15–25% CAGR</w:t>
      </w:r>
      <w:r w:rsidRPr="004B1211">
        <w:t xml:space="preserve"> (e.g. SaaS software, cell-therapy biotech, renewable energy equipment) clearly outpace the 5–7% economy-wide norm.</w:t>
      </w:r>
    </w:p>
    <w:p w14:paraId="16C3702D" w14:textId="77777777" w:rsidR="004B1211" w:rsidRPr="004B1211" w:rsidRDefault="004B1211" w:rsidP="004B1211">
      <w:r w:rsidRPr="004B1211">
        <w:rPr>
          <w:b/>
          <w:bCs/>
        </w:rPr>
        <w:t>Example:</w:t>
      </w:r>
      <w:r w:rsidRPr="004B1211">
        <w:t xml:space="preserve"> The global SaaS market grew from $70 billion in 2018 to $195 billion in 2023—over 20% CAGR.</w:t>
      </w:r>
    </w:p>
    <w:p w14:paraId="62B327AA" w14:textId="77777777" w:rsidR="004B1211" w:rsidRPr="004B1211" w:rsidRDefault="004B1211" w:rsidP="004B1211">
      <w:r w:rsidRPr="004B1211">
        <w:pict w14:anchorId="13E4AC8C">
          <v:rect id="_x0000_i1171" style="width:0;height:1.5pt" o:hralign="center" o:hrstd="t" o:hr="t" fillcolor="#a0a0a0" stroked="f"/>
        </w:pict>
      </w:r>
    </w:p>
    <w:p w14:paraId="0E05A33D" w14:textId="77777777" w:rsidR="004B1211" w:rsidRPr="004B1211" w:rsidRDefault="004B1211" w:rsidP="004B1211">
      <w:pPr>
        <w:rPr>
          <w:b/>
          <w:bCs/>
        </w:rPr>
      </w:pPr>
      <w:r w:rsidRPr="004B1211">
        <w:rPr>
          <w:b/>
          <w:bCs/>
        </w:rPr>
        <w:t>2. Deal-Volume &amp; “Dry Powder” Allocation</w:t>
      </w:r>
    </w:p>
    <w:p w14:paraId="09542604" w14:textId="77777777" w:rsidR="004B1211" w:rsidRPr="004B1211" w:rsidRDefault="004B1211" w:rsidP="004B1211">
      <w:pPr>
        <w:numPr>
          <w:ilvl w:val="0"/>
          <w:numId w:val="31"/>
        </w:numPr>
      </w:pPr>
      <w:r w:rsidRPr="004B1211">
        <w:rPr>
          <w:b/>
          <w:bCs/>
        </w:rPr>
        <w:t>What we did:</w:t>
      </w:r>
      <w:r w:rsidRPr="004B1211">
        <w:t xml:space="preserve"> We looked at private-equity and VC fundraising reports (</w:t>
      </w:r>
      <w:proofErr w:type="spellStart"/>
      <w:r w:rsidRPr="004B1211">
        <w:t>PitchBook</w:t>
      </w:r>
      <w:proofErr w:type="spellEnd"/>
      <w:r w:rsidRPr="004B1211">
        <w:t xml:space="preserve">, </w:t>
      </w:r>
      <w:proofErr w:type="spellStart"/>
      <w:r w:rsidRPr="004B1211">
        <w:t>Preqin</w:t>
      </w:r>
      <w:proofErr w:type="spellEnd"/>
      <w:r w:rsidRPr="004B1211">
        <w:t>) to see where “dry powder” was flowing, and Dealogic to see which sub-sectors hosted the most deal dollars in 2021–24.</w:t>
      </w:r>
    </w:p>
    <w:p w14:paraId="7C432C89" w14:textId="77777777" w:rsidR="004B1211" w:rsidRPr="004B1211" w:rsidRDefault="004B1211" w:rsidP="004B1211">
      <w:pPr>
        <w:numPr>
          <w:ilvl w:val="0"/>
          <w:numId w:val="31"/>
        </w:numPr>
      </w:pPr>
      <w:r w:rsidRPr="004B1211">
        <w:rPr>
          <w:b/>
          <w:bCs/>
        </w:rPr>
        <w:t>Why it matters:</w:t>
      </w:r>
      <w:r w:rsidRPr="004B1211">
        <w:t xml:space="preserve"> PE firms and SPAC sponsors tend to target the fastest-growing areas: in 2023, </w:t>
      </w:r>
      <w:r w:rsidRPr="004B1211">
        <w:rPr>
          <w:b/>
          <w:bCs/>
        </w:rPr>
        <w:t>50% of all life-science deals</w:t>
      </w:r>
      <w:r w:rsidRPr="004B1211">
        <w:t xml:space="preserve"> by value were in immunology and gene therapy.</w:t>
      </w:r>
    </w:p>
    <w:p w14:paraId="38106FBE" w14:textId="77777777" w:rsidR="004B1211" w:rsidRPr="004B1211" w:rsidRDefault="004B1211" w:rsidP="004B1211">
      <w:r w:rsidRPr="004B1211">
        <w:rPr>
          <w:b/>
          <w:bCs/>
        </w:rPr>
        <w:t>Example:</w:t>
      </w:r>
      <w:r w:rsidRPr="004B1211">
        <w:t xml:space="preserve"> Immuno-oncology deals jumped from $10 billion in 2019 to $35 billion in 2023.</w:t>
      </w:r>
    </w:p>
    <w:p w14:paraId="699B9C1F" w14:textId="77777777" w:rsidR="004B1211" w:rsidRPr="004B1211" w:rsidRDefault="004B1211" w:rsidP="004B1211">
      <w:r w:rsidRPr="004B1211">
        <w:pict w14:anchorId="46BC374C">
          <v:rect id="_x0000_i1172" style="width:0;height:1.5pt" o:hralign="center" o:hrstd="t" o:hr="t" fillcolor="#a0a0a0" stroked="f"/>
        </w:pict>
      </w:r>
    </w:p>
    <w:p w14:paraId="11C131C6" w14:textId="77777777" w:rsidR="004B1211" w:rsidRPr="004B1211" w:rsidRDefault="004B1211" w:rsidP="004B1211">
      <w:pPr>
        <w:rPr>
          <w:b/>
          <w:bCs/>
        </w:rPr>
      </w:pPr>
      <w:r w:rsidRPr="004B1211">
        <w:rPr>
          <w:b/>
          <w:bCs/>
        </w:rPr>
        <w:t>3. Innovation &amp; R&amp;D Intensity</w:t>
      </w:r>
    </w:p>
    <w:p w14:paraId="3B9F2A9C" w14:textId="77777777" w:rsidR="004B1211" w:rsidRPr="004B1211" w:rsidRDefault="004B1211" w:rsidP="004B1211">
      <w:pPr>
        <w:numPr>
          <w:ilvl w:val="0"/>
          <w:numId w:val="32"/>
        </w:numPr>
      </w:pPr>
      <w:r w:rsidRPr="004B1211">
        <w:rPr>
          <w:b/>
          <w:bCs/>
        </w:rPr>
        <w:t>What we did:</w:t>
      </w:r>
      <w:r w:rsidRPr="004B1211">
        <w:t xml:space="preserve"> We measured R&amp;D spending as a percentage of revenue (company disclosures) to flag sectors investing heavily in new products.</w:t>
      </w:r>
    </w:p>
    <w:p w14:paraId="6432668E" w14:textId="77777777" w:rsidR="004B1211" w:rsidRPr="004B1211" w:rsidRDefault="004B1211" w:rsidP="004B1211">
      <w:pPr>
        <w:numPr>
          <w:ilvl w:val="0"/>
          <w:numId w:val="32"/>
        </w:numPr>
      </w:pPr>
      <w:r w:rsidRPr="004B1211">
        <w:rPr>
          <w:b/>
          <w:bCs/>
        </w:rPr>
        <w:t>Why it matters:</w:t>
      </w:r>
      <w:r w:rsidRPr="004B1211">
        <w:t xml:space="preserve"> High R&amp;D intensity (20–30% of sales) often signals rapid upcoming product launches and M&amp;A—common in biotech and advanced industrials.</w:t>
      </w:r>
    </w:p>
    <w:p w14:paraId="7C954527" w14:textId="77777777" w:rsidR="004B1211" w:rsidRPr="004B1211" w:rsidRDefault="004B1211" w:rsidP="004B1211">
      <w:r w:rsidRPr="004B1211">
        <w:rPr>
          <w:b/>
          <w:bCs/>
        </w:rPr>
        <w:t>Example:</w:t>
      </w:r>
      <w:r w:rsidRPr="004B1211">
        <w:t xml:space="preserve"> Top cell-therapy players spend 25–30% of revenues on R&amp;D vs. 5–8% in traditional pharma.</w:t>
      </w:r>
    </w:p>
    <w:p w14:paraId="058AD4C5" w14:textId="77777777" w:rsidR="004B1211" w:rsidRPr="004B1211" w:rsidRDefault="004B1211" w:rsidP="004B1211">
      <w:r w:rsidRPr="004B1211">
        <w:pict w14:anchorId="3DA2408B">
          <v:rect id="_x0000_i1173" style="width:0;height:1.5pt" o:hralign="center" o:hrstd="t" o:hr="t" fillcolor="#a0a0a0" stroked="f"/>
        </w:pict>
      </w:r>
    </w:p>
    <w:p w14:paraId="3A1136C0" w14:textId="77777777" w:rsidR="004B1211" w:rsidRPr="004B1211" w:rsidRDefault="004B1211" w:rsidP="004B1211">
      <w:pPr>
        <w:rPr>
          <w:b/>
          <w:bCs/>
        </w:rPr>
      </w:pPr>
      <w:r w:rsidRPr="004B1211">
        <w:rPr>
          <w:b/>
          <w:bCs/>
        </w:rPr>
        <w:t>4. Market Forecasts &amp; Analyst Consensus</w:t>
      </w:r>
    </w:p>
    <w:p w14:paraId="416E2B88" w14:textId="77777777" w:rsidR="004B1211" w:rsidRPr="004B1211" w:rsidRDefault="004B1211" w:rsidP="004B1211">
      <w:pPr>
        <w:numPr>
          <w:ilvl w:val="0"/>
          <w:numId w:val="33"/>
        </w:numPr>
      </w:pPr>
      <w:r w:rsidRPr="004B1211">
        <w:rPr>
          <w:b/>
          <w:bCs/>
        </w:rPr>
        <w:t>What we did:</w:t>
      </w:r>
      <w:r w:rsidRPr="004B1211">
        <w:t xml:space="preserve"> We overlaid forecasts from McKinsey, BCG and Gartner on market expansion rates for sub-sectors through 2027–30.</w:t>
      </w:r>
    </w:p>
    <w:p w14:paraId="3A88DAB2" w14:textId="77777777" w:rsidR="004B1211" w:rsidRPr="004B1211" w:rsidRDefault="004B1211" w:rsidP="004B1211">
      <w:pPr>
        <w:numPr>
          <w:ilvl w:val="0"/>
          <w:numId w:val="33"/>
        </w:numPr>
      </w:pPr>
      <w:r w:rsidRPr="004B1211">
        <w:rPr>
          <w:b/>
          <w:bCs/>
        </w:rPr>
        <w:t>Why it matters:</w:t>
      </w:r>
      <w:r w:rsidRPr="004B1211">
        <w:t xml:space="preserve"> When independent consultancies project </w:t>
      </w:r>
      <w:r w:rsidRPr="004B1211">
        <w:rPr>
          <w:b/>
          <w:bCs/>
        </w:rPr>
        <w:t>25%+ annual growth</w:t>
      </w:r>
      <w:r w:rsidRPr="004B1211">
        <w:t xml:space="preserve"> (e.g. AI-accelerated software, green hydrogen equipment), it’s a reliable forward indicator.</w:t>
      </w:r>
    </w:p>
    <w:p w14:paraId="2F3AB3C9" w14:textId="77777777" w:rsidR="004B1211" w:rsidRPr="004B1211" w:rsidRDefault="004B1211" w:rsidP="004B1211">
      <w:r w:rsidRPr="004B1211">
        <w:rPr>
          <w:b/>
          <w:bCs/>
        </w:rPr>
        <w:t>Example:</w:t>
      </w:r>
      <w:r w:rsidRPr="004B1211">
        <w:t xml:space="preserve"> McKinsey projects global electric</w:t>
      </w:r>
      <w:r w:rsidRPr="004B1211">
        <w:rPr>
          <w:rFonts w:ascii="Cambria Math" w:hAnsi="Cambria Math" w:cs="Cambria Math"/>
        </w:rPr>
        <w:t>‐</w:t>
      </w:r>
      <w:r w:rsidRPr="004B1211">
        <w:t xml:space="preserve">vehicle charging infrastructure to grow at </w:t>
      </w:r>
      <w:r w:rsidRPr="004B1211">
        <w:rPr>
          <w:b/>
          <w:bCs/>
        </w:rPr>
        <w:t>30% CAGR</w:t>
      </w:r>
      <w:r w:rsidRPr="004B1211">
        <w:t xml:space="preserve"> through 2030.</w:t>
      </w:r>
    </w:p>
    <w:p w14:paraId="7A0FE6AE" w14:textId="77777777" w:rsidR="004B1211" w:rsidRPr="004B1211" w:rsidRDefault="004B1211" w:rsidP="004B1211">
      <w:r w:rsidRPr="004B1211">
        <w:pict w14:anchorId="1492D77C">
          <v:rect id="_x0000_i1174" style="width:0;height:1.5pt" o:hralign="center" o:hrstd="t" o:hr="t" fillcolor="#a0a0a0" stroked="f"/>
        </w:pict>
      </w:r>
    </w:p>
    <w:p w14:paraId="4F11980C" w14:textId="77777777" w:rsidR="004B1211" w:rsidRPr="004B1211" w:rsidRDefault="004B1211" w:rsidP="004B1211">
      <w:pPr>
        <w:rPr>
          <w:b/>
          <w:bCs/>
        </w:rPr>
      </w:pPr>
      <w:r w:rsidRPr="004B1211">
        <w:rPr>
          <w:b/>
          <w:bCs/>
        </w:rPr>
        <w:t>5. Competitive Dynamics &amp; Deal Multiples</w:t>
      </w:r>
    </w:p>
    <w:p w14:paraId="7102E17E" w14:textId="77777777" w:rsidR="004B1211" w:rsidRPr="004B1211" w:rsidRDefault="004B1211" w:rsidP="004B1211">
      <w:pPr>
        <w:numPr>
          <w:ilvl w:val="0"/>
          <w:numId w:val="34"/>
        </w:numPr>
      </w:pPr>
      <w:r w:rsidRPr="004B1211">
        <w:rPr>
          <w:b/>
          <w:bCs/>
        </w:rPr>
        <w:t>What we did:</w:t>
      </w:r>
      <w:r w:rsidRPr="004B1211">
        <w:t xml:space="preserve"> We checked transaction multiples (EV/EBITDA) in sub-sectors over the past 3 years—higher multiples indicate stronger investor appetite.</w:t>
      </w:r>
    </w:p>
    <w:p w14:paraId="16919683" w14:textId="77777777" w:rsidR="004B1211" w:rsidRPr="004B1211" w:rsidRDefault="004B1211" w:rsidP="004B1211">
      <w:pPr>
        <w:numPr>
          <w:ilvl w:val="0"/>
          <w:numId w:val="34"/>
        </w:numPr>
      </w:pPr>
      <w:r w:rsidRPr="004B1211">
        <w:rPr>
          <w:b/>
          <w:bCs/>
        </w:rPr>
        <w:t>Why it matters:</w:t>
      </w:r>
      <w:r w:rsidRPr="004B1211">
        <w:t xml:space="preserve"> Sectors trading at </w:t>
      </w:r>
      <w:r w:rsidRPr="004B1211">
        <w:rPr>
          <w:b/>
          <w:bCs/>
        </w:rPr>
        <w:t>10–15× EBITDA</w:t>
      </w:r>
      <w:r w:rsidRPr="004B1211">
        <w:t xml:space="preserve"> (vs. 6–8× economy average) are where buyers are </w:t>
      </w:r>
      <w:proofErr w:type="spellStart"/>
      <w:r w:rsidRPr="004B1211">
        <w:t>clamoring</w:t>
      </w:r>
      <w:proofErr w:type="spellEnd"/>
      <w:r w:rsidRPr="004B1211">
        <w:t xml:space="preserve"> to invest.</w:t>
      </w:r>
    </w:p>
    <w:p w14:paraId="6A47DD41" w14:textId="77777777" w:rsidR="004B1211" w:rsidRPr="004B1211" w:rsidRDefault="004B1211" w:rsidP="004B1211">
      <w:r w:rsidRPr="004B1211">
        <w:rPr>
          <w:b/>
          <w:bCs/>
        </w:rPr>
        <w:t>Example:</w:t>
      </w:r>
      <w:r w:rsidRPr="004B1211">
        <w:t xml:space="preserve"> Leading SaaS deals averaged 12× EV/EBITDA in 2023, compared to 8× in diversified industrials.</w:t>
      </w:r>
    </w:p>
    <w:p w14:paraId="35C45EFB" w14:textId="77777777" w:rsidR="004B1211" w:rsidRPr="004B1211" w:rsidRDefault="004B1211" w:rsidP="004B1211">
      <w:r w:rsidRPr="004B1211">
        <w:lastRenderedPageBreak/>
        <w:t>This is a fantastic visual for your recommendations slide! It's clear, professional, and organizes your key strategic thrusts well.</w:t>
      </w:r>
    </w:p>
    <w:p w14:paraId="497C9215" w14:textId="77777777" w:rsidR="004B1211" w:rsidRPr="004B1211" w:rsidRDefault="004B1211" w:rsidP="004B1211">
      <w:r w:rsidRPr="004B1211">
        <w:t>Now, let's do a very detailed breakdown of what each of these five recommendations </w:t>
      </w:r>
      <w:r w:rsidRPr="004B1211">
        <w:rPr>
          <w:i/>
          <w:iCs/>
        </w:rPr>
        <w:t>actually means</w:t>
      </w:r>
      <w:r w:rsidRPr="004B1211">
        <w:t> in practice, how they specifically help JPM grow wallet share in your concerning areas (Tech, Healthcare, Diversified Industrials), and link them back to our previous research and insights (especially regarding competition with GS and boutiques).</w:t>
      </w:r>
    </w:p>
    <w:p w14:paraId="4AFD13BC" w14:textId="77777777" w:rsidR="004B1211" w:rsidRPr="004B1211" w:rsidRDefault="004B1211" w:rsidP="004B1211">
      <w:r w:rsidRPr="004B1211">
        <w:pict w14:anchorId="1B26ACEA">
          <v:rect id="_x0000_i1186" style="width:0;height:1.5pt" o:hralign="center" o:hrstd="t" o:hrnoshade="t" o:hr="t" fillcolor="#1a1c1e" stroked="f"/>
        </w:pict>
      </w:r>
    </w:p>
    <w:p w14:paraId="69EAE08C" w14:textId="77777777" w:rsidR="004B1211" w:rsidRPr="004B1211" w:rsidRDefault="004B1211" w:rsidP="004B1211">
      <w:r w:rsidRPr="004B1211">
        <w:rPr>
          <w:b/>
          <w:bCs/>
        </w:rPr>
        <w:t>Detailed Breakdown of Your Five Recommendations for JPM:</w:t>
      </w:r>
    </w:p>
    <w:p w14:paraId="72B53F1C" w14:textId="77777777" w:rsidR="004B1211" w:rsidRPr="004B1211" w:rsidRDefault="004B1211" w:rsidP="004B1211">
      <w:r w:rsidRPr="004B1211">
        <w:rPr>
          <w:b/>
          <w:bCs/>
        </w:rPr>
        <w:t>1. GenAI Powered Predictive Deals Origination</w:t>
      </w:r>
      <w:r w:rsidRPr="004B1211">
        <w:br/>
        <w:t>* </w:t>
      </w:r>
      <w:r w:rsidRPr="004B1211">
        <w:rPr>
          <w:b/>
          <w:bCs/>
        </w:rPr>
        <w:t>What it </w:t>
      </w:r>
      <w:r w:rsidRPr="004B1211">
        <w:rPr>
          <w:b/>
          <w:bCs/>
          <w:i/>
          <w:iCs/>
        </w:rPr>
        <w:t>Actually</w:t>
      </w:r>
      <w:r w:rsidRPr="004B1211">
        <w:rPr>
          <w:b/>
          <w:bCs/>
        </w:rPr>
        <w:t> Means (Beyond the Slide Text):</w:t>
      </w:r>
      <w:r w:rsidRPr="004B1211">
        <w:br/>
        <w:t>* This is about building a sophisticated, proprietary JPM "crystal ball" using Generative AI and advanced machine learning. It's not just basic data analytics; it's about ingesting massive, diverse datasets (financials, news, patent filings, research papers, talent movements, supply chain data, regulatory filings, even social media sentiment if relevant and ethical) to identify </w:t>
      </w:r>
      <w:r w:rsidRPr="004B1211">
        <w:rPr>
          <w:i/>
          <w:iCs/>
        </w:rPr>
        <w:t>non-obvious, early-stage indicators</w:t>
      </w:r>
      <w:r w:rsidRPr="004B1211">
        <w:t> of potential M&amp;A, DCM, or ECM needs for specific companies in Tech, Healthcare, and DI.</w:t>
      </w:r>
      <w:r w:rsidRPr="004B1211">
        <w:br/>
        <w:t>* </w:t>
      </w:r>
      <w:r w:rsidRPr="004B1211">
        <w:rPr>
          <w:b/>
          <w:bCs/>
        </w:rPr>
        <w:t>AI-Powered Analysis:</w:t>
      </w:r>
      <w:r w:rsidRPr="004B1211">
        <w:t> The AI would identify patterns, correlations, and anomalies that human analysts might miss. For example, it could flag a mid-sized software company that's suddenly hiring a lot of AI ethics lawyers (</w:t>
      </w:r>
      <w:proofErr w:type="spellStart"/>
      <w:r w:rsidRPr="004B1211">
        <w:t>signaling</w:t>
      </w:r>
      <w:proofErr w:type="spellEnd"/>
      <w:r w:rsidRPr="004B1211">
        <w:t xml:space="preserve"> a potential new product line or risk area needing capital/M&amp;A), or a biotech whose recent patent filings create a unique synergy with a large pharma's stated strategic goals.</w:t>
      </w:r>
      <w:r w:rsidRPr="004B1211">
        <w:br/>
        <w:t>* </w:t>
      </w:r>
      <w:r w:rsidRPr="004B1211">
        <w:rPr>
          <w:b/>
          <w:bCs/>
        </w:rPr>
        <w:t>Proactive Engagement:</w:t>
      </w:r>
      <w:r w:rsidRPr="004B1211">
        <w:t> The output isn't just a list of companies; it's a set of </w:t>
      </w:r>
      <w:r w:rsidRPr="004B1211">
        <w:rPr>
          <w:i/>
          <w:iCs/>
        </w:rPr>
        <w:t>actionable insights and tailored engagement theses</w:t>
      </w:r>
      <w:r w:rsidRPr="004B1211">
        <w:t> for bankers. "Based on X, Y, and Z data signals, Company A in Healthcare is likely to need growth capital for Phase 3 trials within 6 months, or might be an attractive acquisition target for Company B due to complementary R&amp;D pipelines."</w:t>
      </w:r>
      <w:r w:rsidRPr="004B1211">
        <w:br/>
        <w:t>* </w:t>
      </w:r>
      <w:r w:rsidRPr="004B1211">
        <w:rPr>
          <w:b/>
          <w:bCs/>
        </w:rPr>
        <w:t>How it Helps Grow Wallet Share (Specifically in Tech, HC, DI):</w:t>
      </w:r>
      <w:r w:rsidRPr="004B1211">
        <w:br/>
        <w:t>* </w:t>
      </w:r>
      <w:r w:rsidRPr="004B1211">
        <w:rPr>
          <w:b/>
          <w:bCs/>
        </w:rPr>
        <w:t>Tech:</w:t>
      </w:r>
      <w:r w:rsidRPr="004B1211">
        <w:t> In the fast-moving tech sector, this can help JPM identify the "next big thing" or a company ripe for consolidation </w:t>
      </w:r>
      <w:r w:rsidRPr="004B1211">
        <w:rPr>
          <w:i/>
          <w:iCs/>
        </w:rPr>
        <w:t>before</w:t>
      </w:r>
      <w:r w:rsidRPr="004B1211">
        <w:t> competitors. It allows JPM to approach a SaaS company with a data-backed M&amp;A idea or suggest an optimal window for a growth equity round. </w:t>
      </w:r>
      <w:r w:rsidRPr="004B1211">
        <w:rPr>
          <w:i/>
          <w:iCs/>
        </w:rPr>
        <w:t>This directly counters GS's strength in early ecosystem engagement by using technology to achieve similar early insights.</w:t>
      </w:r>
      <w:r w:rsidRPr="004B1211">
        <w:br/>
        <w:t>* </w:t>
      </w:r>
      <w:r w:rsidRPr="004B1211">
        <w:rPr>
          <w:b/>
          <w:bCs/>
        </w:rPr>
        <w:t>Healthcare:</w:t>
      </w:r>
      <w:r w:rsidRPr="004B1211">
        <w:t xml:space="preserve"> For </w:t>
      </w:r>
      <w:proofErr w:type="spellStart"/>
      <w:r w:rsidRPr="004B1211">
        <w:t>biotechs</w:t>
      </w:r>
      <w:proofErr w:type="spellEnd"/>
      <w:r w:rsidRPr="004B1211">
        <w:t xml:space="preserve">, the AI could </w:t>
      </w:r>
      <w:proofErr w:type="spellStart"/>
      <w:r w:rsidRPr="004B1211">
        <w:t>analyze</w:t>
      </w:r>
      <w:proofErr w:type="spellEnd"/>
      <w:r w:rsidRPr="004B1211">
        <w:t xml:space="preserve"> clinical trial data across the industry, R&amp;D spend, and patent landscapes to predict which companies have the highest probability of success or which large pharma companies have impending patent cliffs that will drive M&amp;A. This allows JPM to bring highly tailored M&amp;A or financing ideas based on deep scientific and market understanding. </w:t>
      </w:r>
      <w:r w:rsidRPr="004B1211">
        <w:rPr>
          <w:i/>
          <w:iCs/>
        </w:rPr>
        <w:t xml:space="preserve">This addresses the "science-driven" advisory strength of GS and boutiques like </w:t>
      </w:r>
      <w:proofErr w:type="spellStart"/>
      <w:r w:rsidRPr="004B1211">
        <w:rPr>
          <w:i/>
          <w:iCs/>
        </w:rPr>
        <w:t>Centerview</w:t>
      </w:r>
      <w:proofErr w:type="spellEnd"/>
      <w:r w:rsidRPr="004B1211">
        <w:rPr>
          <w:i/>
          <w:iCs/>
        </w:rPr>
        <w:t>.</w:t>
      </w:r>
      <w:r w:rsidRPr="004B1211">
        <w:br/>
        <w:t>* </w:t>
      </w:r>
      <w:r w:rsidRPr="004B1211">
        <w:rPr>
          <w:b/>
          <w:bCs/>
        </w:rPr>
        <w:t>Diversified Industrials:</w:t>
      </w:r>
      <w:r w:rsidRPr="004B1211">
        <w:t> Can identify companies in DI undergoing stress in their supply chains (ripe for M&amp;A by a stronger player), those investing heavily in sustainable tech (needing green financing), or those whose patent activity suggests a strategic pivot that will require capital. </w:t>
      </w:r>
      <w:r w:rsidRPr="004B1211">
        <w:rPr>
          <w:i/>
          <w:iCs/>
        </w:rPr>
        <w:t>This gives JPM a proactive edge in a sector where relationships can be very sticky.</w:t>
      </w:r>
      <w:r w:rsidRPr="004B1211">
        <w:br/>
        <w:t>* </w:t>
      </w:r>
      <w:r w:rsidRPr="004B1211">
        <w:rPr>
          <w:b/>
          <w:bCs/>
        </w:rPr>
        <w:t>Solves Problem Of:</w:t>
      </w:r>
      <w:r w:rsidRPr="004B1211">
        <w:t> Being reactive to RFPs; missing out on originating the core strategic idea; lacking differentiated insights compared to deeply entrenched competitors.</w:t>
      </w:r>
      <w:r w:rsidRPr="004B1211">
        <w:br/>
        <w:t>* </w:t>
      </w:r>
      <w:r w:rsidRPr="004B1211">
        <w:rPr>
          <w:b/>
          <w:bCs/>
        </w:rPr>
        <w:t>Benefit:</w:t>
      </w:r>
      <w:r w:rsidRPr="004B1211">
        <w:t> JPM becomes the bank that brings the smartest, earliest, data-backed ideas, making it the indispensable first call and significantly increasing the chances of winning lead-left mandates (M&amp;A, ECM, DCM) that might otherwise go to GS or specialized boutiques.</w:t>
      </w:r>
    </w:p>
    <w:p w14:paraId="2E4316B9" w14:textId="77777777" w:rsidR="004B1211" w:rsidRPr="004B1211" w:rsidRDefault="004B1211" w:rsidP="004B1211">
      <w:r w:rsidRPr="004B1211">
        <w:rPr>
          <w:b/>
          <w:bCs/>
        </w:rPr>
        <w:lastRenderedPageBreak/>
        <w:t>2. Strategic Talent Retention &amp; Acquisition</w:t>
      </w:r>
      <w:r w:rsidRPr="004B1211">
        <w:br/>
        <w:t>* </w:t>
      </w:r>
      <w:r w:rsidRPr="004B1211">
        <w:rPr>
          <w:b/>
          <w:bCs/>
        </w:rPr>
        <w:t>What it </w:t>
      </w:r>
      <w:r w:rsidRPr="004B1211">
        <w:rPr>
          <w:b/>
          <w:bCs/>
          <w:i/>
          <w:iCs/>
        </w:rPr>
        <w:t>Actually</w:t>
      </w:r>
      <w:r w:rsidRPr="004B1211">
        <w:rPr>
          <w:b/>
          <w:bCs/>
        </w:rPr>
        <w:t> Means:</w:t>
      </w:r>
      <w:r w:rsidRPr="004B1211">
        <w:br/>
        <w:t>* This is a dual strategy:</w:t>
      </w:r>
      <w:r w:rsidRPr="004B1211">
        <w:br/>
        <w:t>* </w:t>
      </w:r>
      <w:r w:rsidRPr="004B1211">
        <w:rPr>
          <w:b/>
          <w:bCs/>
        </w:rPr>
        <w:t>Retention:</w:t>
      </w:r>
      <w:r w:rsidRPr="004B1211">
        <w:t> Creating an environment and incentive structure within JPM that makes it the absolute best place to work for top-tier, experienced CIB bankers, especially those with deep sector expertise and proven origination skills in Tech, HC, and DI. This means competitive pay, yes, but also autonomy, intellectual freedom, recognition, and a clear path to leadership.</w:t>
      </w:r>
      <w:r w:rsidRPr="004B1211">
        <w:br/>
        <w:t>* </w:t>
      </w:r>
      <w:r w:rsidRPr="004B1211">
        <w:rPr>
          <w:b/>
          <w:bCs/>
        </w:rPr>
        <w:t>Acquisition:</w:t>
      </w:r>
      <w:r w:rsidRPr="004B1211">
        <w:t> A highly targeted, surgical approach to recruiting "game-changing" senior bankers from competitors (GS, MS) and elite boutiques (</w:t>
      </w:r>
      <w:proofErr w:type="spellStart"/>
      <w:r w:rsidRPr="004B1211">
        <w:t>Qatalyst</w:t>
      </w:r>
      <w:proofErr w:type="spellEnd"/>
      <w:r w:rsidRPr="004B1211">
        <w:t xml:space="preserve">, </w:t>
      </w:r>
      <w:proofErr w:type="spellStart"/>
      <w:r w:rsidRPr="004B1211">
        <w:t>Centerview</w:t>
      </w:r>
      <w:proofErr w:type="spellEnd"/>
      <w:r w:rsidRPr="004B1211">
        <w:t>, Evercore, Lazard) who bring not just a book of business, but </w:t>
      </w:r>
      <w:r w:rsidRPr="004B1211">
        <w:rPr>
          <w:i/>
          <w:iCs/>
        </w:rPr>
        <w:t>unique sector insights, C-suite access, and a proven ability to architect complex deals</w:t>
      </w:r>
      <w:r w:rsidRPr="004B1211">
        <w:t>.</w:t>
      </w:r>
      <w:r w:rsidRPr="004B1211">
        <w:br/>
        <w:t>* </w:t>
      </w:r>
      <w:r w:rsidRPr="004B1211">
        <w:rPr>
          <w:b/>
          <w:bCs/>
        </w:rPr>
        <w:t>Enhance Expertise &amp; Leadership:</w:t>
      </w:r>
      <w:r w:rsidRPr="004B1211">
        <w:t> Focus on individuals who are recognized thought leaders in their specific niches (e.g., a biotech M&amp;A "guru," a software consolidation expert, a leader in industrial sustainability M&amp;A).</w:t>
      </w:r>
      <w:r w:rsidRPr="004B1211">
        <w:br/>
        <w:t>* </w:t>
      </w:r>
      <w:r w:rsidRPr="004B1211">
        <w:rPr>
          <w:b/>
          <w:bCs/>
        </w:rPr>
        <w:t>Drive Growth &amp; Client Retention:</w:t>
      </w:r>
      <w:r w:rsidRPr="004B1211">
        <w:t> These "star" bankers can open doors to new clients, deepen relationships with existing ones, and elevate JPM's brand as having the absolute best advisory talent in key sectors.</w:t>
      </w:r>
      <w:r w:rsidRPr="004B1211">
        <w:br/>
        <w:t>* </w:t>
      </w:r>
      <w:r w:rsidRPr="004B1211">
        <w:rPr>
          <w:b/>
          <w:bCs/>
        </w:rPr>
        <w:t>How it Helps Grow Wallet Share:</w:t>
      </w:r>
      <w:r w:rsidRPr="004B1211">
        <w:br/>
        <w:t>* </w:t>
      </w:r>
      <w:r w:rsidRPr="004B1211">
        <w:rPr>
          <w:b/>
          <w:bCs/>
        </w:rPr>
        <w:t>Tech, HC, DI:</w:t>
      </w:r>
      <w:r w:rsidRPr="004B1211">
        <w:t> The missed deal data clearly shows that specific bankers at competitor firms are often the key differentiators. By acquiring some of this "marquee talent," JPM directly imports those relationships and that specialized deal-making DNA. It also sends a strong signal to the market about JPM's commitment to leadership in these sectors.</w:t>
      </w:r>
      <w:r w:rsidRPr="004B1211">
        <w:br/>
        <w:t>* </w:t>
      </w:r>
      <w:r w:rsidRPr="004B1211">
        <w:rPr>
          <w:b/>
          <w:bCs/>
        </w:rPr>
        <w:t>Solves Problem Of:</w:t>
      </w:r>
      <w:r w:rsidRPr="004B1211">
        <w:t> Losing deals due to a competitor's specific "star banker" relationship; not having sufficient perceived depth in hyper-specialized niches; potential brain drain if JPM's own top talent leaves for better opportunities.</w:t>
      </w:r>
      <w:r w:rsidRPr="004B1211">
        <w:br/>
        <w:t>* </w:t>
      </w:r>
      <w:r w:rsidRPr="004B1211">
        <w:rPr>
          <w:b/>
          <w:bCs/>
        </w:rPr>
        <w:t>Benefit:</w:t>
      </w:r>
      <w:r w:rsidRPr="004B1211">
        <w:t> JPM's advisory teams become undeniably world-class in every key sub-sector, making it harder for clients to justify going elsewhere based on individual banker expertise. This directly translates to winning more lead mandates.</w:t>
      </w:r>
    </w:p>
    <w:p w14:paraId="5ECB934B" w14:textId="77777777" w:rsidR="004B1211" w:rsidRPr="004B1211" w:rsidRDefault="004B1211" w:rsidP="004B1211">
      <w:r w:rsidRPr="004B1211">
        <w:rPr>
          <w:b/>
          <w:bCs/>
        </w:rPr>
        <w:t>3. Launch Sub-Sector Specific Units</w:t>
      </w:r>
      <w:r w:rsidRPr="004B1211">
        <w:br/>
        <w:t>* </w:t>
      </w:r>
      <w:r w:rsidRPr="004B1211">
        <w:rPr>
          <w:b/>
          <w:bCs/>
        </w:rPr>
        <w:t>What it </w:t>
      </w:r>
      <w:r w:rsidRPr="004B1211">
        <w:rPr>
          <w:b/>
          <w:bCs/>
          <w:i/>
          <w:iCs/>
        </w:rPr>
        <w:t>Actually</w:t>
      </w:r>
      <w:r w:rsidRPr="004B1211">
        <w:rPr>
          <w:b/>
          <w:bCs/>
        </w:rPr>
        <w:t> Means:</w:t>
      </w:r>
      <w:r w:rsidRPr="004B1211">
        <w:br/>
        <w:t>* Creating dedicated, almost "boutique-within-a-bank" advisory teams with a laser focus on specific high-growth, high-margin sub-sectors within Tech, HC, and DI. Examples: "JPM AI Software M&amp;A," "JPM Next-Gen Biotherapeutics Advisory," "JPM Sustainable Industrials M&amp;A."</w:t>
      </w:r>
      <w:r w:rsidRPr="004B1211">
        <w:br/>
        <w:t>* </w:t>
      </w:r>
      <w:r w:rsidRPr="004B1211">
        <w:rPr>
          <w:b/>
          <w:bCs/>
        </w:rPr>
        <w:t>Target High-Growth Sub-Sectors:</w:t>
      </w:r>
      <w:r w:rsidRPr="004B1211">
        <w:t> Prioritize areas where innovation, disruption, and capital needs are most intense (e.g., AI, gene therapy, energy transition tech for industrials).</w:t>
      </w:r>
      <w:r w:rsidRPr="004B1211">
        <w:br/>
        <w:t>* </w:t>
      </w:r>
      <w:r w:rsidRPr="004B1211">
        <w:rPr>
          <w:b/>
          <w:bCs/>
        </w:rPr>
        <w:t>Focus on Pure Advisory:</w:t>
      </w:r>
      <w:r w:rsidRPr="004B1211">
        <w:t> These units would have a primary mandate to originate and lead </w:t>
      </w:r>
      <w:r w:rsidRPr="004B1211">
        <w:rPr>
          <w:i/>
          <w:iCs/>
        </w:rPr>
        <w:t>strategic M&amp;A advisory</w:t>
      </w:r>
      <w:r w:rsidRPr="004B1211">
        <w:t>, with financing and other products as supporting capabilities. This mimics the boutique model that has proven successful in winning high-value advisory mandates.</w:t>
      </w:r>
      <w:r w:rsidRPr="004B1211">
        <w:br/>
        <w:t>* </w:t>
      </w:r>
      <w:r w:rsidRPr="004B1211">
        <w:rPr>
          <w:b/>
          <w:bCs/>
        </w:rPr>
        <w:t>How it Helps Grow Wallet Share:</w:t>
      </w:r>
      <w:r w:rsidRPr="004B1211">
        <w:br/>
        <w:t>* </w:t>
      </w:r>
      <w:r w:rsidRPr="004B1211">
        <w:rPr>
          <w:b/>
          <w:bCs/>
        </w:rPr>
        <w:t>Tech, HC, DI:</w:t>
      </w:r>
      <w:r w:rsidRPr="004B1211">
        <w:t> Directly addresses the challenge from specialized boutiques that thrive by being </w:t>
      </w:r>
      <w:r w:rsidRPr="004B1211">
        <w:rPr>
          <w:i/>
          <w:iCs/>
        </w:rPr>
        <w:t>the</w:t>
      </w:r>
      <w:r w:rsidRPr="004B1211">
        <w:t xml:space="preserve"> experts in a narrow field. JPM can replicate this focus and depth, but with the added power of its global platform. For example, a "JPM Software M&amp;A" unit could directly compete with </w:t>
      </w:r>
      <w:proofErr w:type="spellStart"/>
      <w:r w:rsidRPr="004B1211">
        <w:t>Qatalyst</w:t>
      </w:r>
      <w:proofErr w:type="spellEnd"/>
      <w:r w:rsidRPr="004B1211">
        <w:t xml:space="preserve"> for software deals. A "JPM Biopharma Strategic Advisory" unit could take on </w:t>
      </w:r>
      <w:proofErr w:type="spellStart"/>
      <w:r w:rsidRPr="004B1211">
        <w:t>Centerview</w:t>
      </w:r>
      <w:proofErr w:type="spellEnd"/>
      <w:r w:rsidRPr="004B1211">
        <w:t>.</w:t>
      </w:r>
      <w:r w:rsidRPr="004B1211">
        <w:br/>
        <w:t>* </w:t>
      </w:r>
      <w:r w:rsidRPr="004B1211">
        <w:rPr>
          <w:b/>
          <w:bCs/>
        </w:rPr>
        <w:t>Solves Problem Of:</w:t>
      </w:r>
      <w:r w:rsidRPr="004B1211">
        <w:t> Appearing too generalist compared to highly specialized competitors; not having a strong enough "brand" in certain critical sub-niches despite having capable bankers.</w:t>
      </w:r>
      <w:r w:rsidRPr="004B1211">
        <w:br/>
      </w:r>
      <w:r w:rsidRPr="004B1211">
        <w:lastRenderedPageBreak/>
        <w:t>* </w:t>
      </w:r>
      <w:r w:rsidRPr="004B1211">
        <w:rPr>
          <w:b/>
          <w:bCs/>
        </w:rPr>
        <w:t>Benefit:</w:t>
      </w:r>
      <w:r w:rsidRPr="004B1211">
        <w:t> JPM becomes the go-to bank for clients needing deep, specialized M&amp;A advice in the most dynamic sub-sectors, capturing lead roles that might otherwise go to boutiques or highly focused teams at GS.</w:t>
      </w:r>
    </w:p>
    <w:p w14:paraId="42DE8727" w14:textId="77777777" w:rsidR="004B1211" w:rsidRPr="004B1211" w:rsidRDefault="004B1211" w:rsidP="004B1211">
      <w:r w:rsidRPr="004B1211">
        <w:rPr>
          <w:b/>
          <w:bCs/>
        </w:rPr>
        <w:t>4. Integrated Client Solutions Model</w:t>
      </w:r>
      <w:r w:rsidRPr="004B1211">
        <w:br/>
        <w:t>* </w:t>
      </w:r>
      <w:r w:rsidRPr="004B1211">
        <w:rPr>
          <w:b/>
          <w:bCs/>
        </w:rPr>
        <w:t>What it </w:t>
      </w:r>
      <w:r w:rsidRPr="004B1211">
        <w:rPr>
          <w:b/>
          <w:bCs/>
          <w:i/>
          <w:iCs/>
        </w:rPr>
        <w:t>Actually</w:t>
      </w:r>
      <w:r w:rsidRPr="004B1211">
        <w:rPr>
          <w:b/>
          <w:bCs/>
        </w:rPr>
        <w:t> Means:</w:t>
      </w:r>
      <w:r w:rsidRPr="004B1211">
        <w:br/>
        <w:t>* A fundamental shift in client engagement from episodic, product-specific interactions to a proactive, holistic, and continuous partnership model.</w:t>
      </w:r>
      <w:r w:rsidRPr="004B1211">
        <w:br/>
        <w:t>* </w:t>
      </w:r>
      <w:r w:rsidRPr="004B1211">
        <w:rPr>
          <w:b/>
          <w:bCs/>
        </w:rPr>
        <w:t>Real-Time Client Engagement:</w:t>
      </w:r>
      <w:r w:rsidRPr="004B1211">
        <w:t> Leveraging technology (perhaps linked to the GenAI platform) and dedicated "Client Success Orchestrators" to have a constant pulse on key clients' strategic priorities, challenges, and emerging needs </w:t>
      </w:r>
      <w:r w:rsidRPr="004B1211">
        <w:rPr>
          <w:i/>
          <w:iCs/>
        </w:rPr>
        <w:t>as they happen</w:t>
      </w:r>
      <w:r w:rsidRPr="004B1211">
        <w:t>.</w:t>
      </w:r>
      <w:r w:rsidRPr="004B1211">
        <w:br/>
        <w:t>* </w:t>
      </w:r>
      <w:r w:rsidRPr="004B1211">
        <w:rPr>
          <w:b/>
          <w:bCs/>
        </w:rPr>
        <w:t>Boost Client Retention:</w:t>
      </w:r>
      <w:r w:rsidRPr="004B1211">
        <w:t> By anticipating needs and offering integrated solutions (M&amp;A + DCM + ECM + Treasury + Risk Management) that address the client's core strategic objectives, JPM becomes deeply embedded and indispensable.</w:t>
      </w:r>
      <w:r w:rsidRPr="004B1211">
        <w:br/>
        <w:t>* </w:t>
      </w:r>
      <w:r w:rsidRPr="004B1211">
        <w:rPr>
          <w:b/>
          <w:bCs/>
        </w:rPr>
        <w:t>How it Helps Grow Wallet Share:</w:t>
      </w:r>
      <w:r w:rsidRPr="004B1211">
        <w:br/>
        <w:t>* </w:t>
      </w:r>
      <w:r w:rsidRPr="004B1211">
        <w:rPr>
          <w:b/>
          <w:bCs/>
        </w:rPr>
        <w:t>Tech, HC, DI:</w:t>
      </w:r>
      <w:r w:rsidRPr="004B1211">
        <w:t> For a Tech company evolving rapidly, JPM can proactively offer advice on a small bolt-on acquisition, followed by growth equity, then a larger debt raise, and eventually strategic M&amp;A – all orchestrated seamlessly. For an Industrial client undergoing a sustainability transformation, JPM can advise on divesting old assets (M&amp;A), financing new green tech (DCM/Project Finance), and potentially an ESG-focused equity story (ECM).</w:t>
      </w:r>
      <w:r w:rsidRPr="004B1211">
        <w:br/>
        <w:t>* </w:t>
      </w:r>
      <w:r w:rsidRPr="004B1211">
        <w:rPr>
          <w:b/>
          <w:bCs/>
        </w:rPr>
        <w:t>Solves Problem Of:</w:t>
      </w:r>
      <w:r w:rsidRPr="004B1211">
        <w:t> Siloed product delivery; missing opportunities because different parts of the bank aren't fully coordinated around a client's holistic strategy; clients turning to competitors for specific needs because JPM wasn't seen as thinking about their "big picture."</w:t>
      </w:r>
      <w:r w:rsidRPr="004B1211">
        <w:br/>
        <w:t>* </w:t>
      </w:r>
      <w:r w:rsidRPr="004B1211">
        <w:rPr>
          <w:b/>
          <w:bCs/>
        </w:rPr>
        <w:t>Benefit:</w:t>
      </w:r>
      <w:r w:rsidRPr="004B1211">
        <w:t> Maximizes JPM's share of </w:t>
      </w:r>
      <w:r w:rsidRPr="004B1211">
        <w:rPr>
          <w:i/>
          <w:iCs/>
        </w:rPr>
        <w:t>each client's total CIB wallet</w:t>
      </w:r>
      <w:r w:rsidRPr="004B1211">
        <w:t> by becoming their long-term strategic financial partner across all products and lifecycle stages. This significantly enhances client loyalty and reduces competitive inroads.</w:t>
      </w:r>
    </w:p>
    <w:p w14:paraId="6DF3B403" w14:textId="77777777" w:rsidR="004B1211" w:rsidRPr="004B1211" w:rsidRDefault="004B1211" w:rsidP="004B1211">
      <w:r w:rsidRPr="004B1211">
        <w:rPr>
          <w:b/>
          <w:bCs/>
        </w:rPr>
        <w:t>5. Industry Specific Conferences</w:t>
      </w:r>
      <w:r w:rsidRPr="004B1211">
        <w:br/>
        <w:t>* </w:t>
      </w:r>
      <w:r w:rsidRPr="004B1211">
        <w:rPr>
          <w:b/>
          <w:bCs/>
        </w:rPr>
        <w:t>What it </w:t>
      </w:r>
      <w:r w:rsidRPr="004B1211">
        <w:rPr>
          <w:b/>
          <w:bCs/>
          <w:i/>
          <w:iCs/>
        </w:rPr>
        <w:t>Actually</w:t>
      </w:r>
      <w:r w:rsidRPr="004B1211">
        <w:rPr>
          <w:b/>
          <w:bCs/>
        </w:rPr>
        <w:t> Means:</w:t>
      </w:r>
      <w:r w:rsidRPr="004B1211">
        <w:br/>
        <w:t>* Elevating JPM's existing industry conferences (like the renowned J.P. Morgan Healthcare Conference) and potentially launching new, highly curated thought leadership forums for Tech and DI, with a clear objective of not just showcasing companies, but </w:t>
      </w:r>
      <w:r w:rsidRPr="004B1211">
        <w:rPr>
          <w:i/>
          <w:iCs/>
        </w:rPr>
        <w:t>shaping strategic dialogue and organically originating CIB opportunities</w:t>
      </w:r>
      <w:r w:rsidRPr="004B1211">
        <w:t>.</w:t>
      </w:r>
      <w:r w:rsidRPr="004B1211">
        <w:br/>
        <w:t>* </w:t>
      </w:r>
      <w:r w:rsidRPr="004B1211">
        <w:rPr>
          <w:b/>
          <w:bCs/>
        </w:rPr>
        <w:t>Establishes JPM as a "Thought Leader":</w:t>
      </w:r>
      <w:r w:rsidRPr="004B1211">
        <w:t> The content and discussions must be cutting-edge, featuring JPM's unique insights (perhaps from the GenAI platform and Sub-Sector Units), and bringing together true industry visionaries.</w:t>
      </w:r>
      <w:r w:rsidRPr="004B1211">
        <w:br/>
        <w:t>* </w:t>
      </w:r>
      <w:r w:rsidRPr="004B1211">
        <w:rPr>
          <w:b/>
          <w:bCs/>
        </w:rPr>
        <w:t>Organic Client Conversion:</w:t>
      </w:r>
      <w:r w:rsidRPr="004B1211">
        <w:t> These events become powerful platforms for JPM bankers to engage with C-suite executives in a less formal, idea-driven environment, building relationships and subtly identifying potential M&amp;A or capital needs that can be followed up on.</w:t>
      </w:r>
      <w:r w:rsidRPr="004B1211">
        <w:br/>
        <w:t>* </w:t>
      </w:r>
      <w:r w:rsidRPr="004B1211">
        <w:rPr>
          <w:b/>
          <w:bCs/>
        </w:rPr>
        <w:t>How it Helps Grow Wallet Share:</w:t>
      </w:r>
      <w:r w:rsidRPr="004B1211">
        <w:br/>
        <w:t>* </w:t>
      </w:r>
      <w:r w:rsidRPr="004B1211">
        <w:rPr>
          <w:b/>
          <w:bCs/>
        </w:rPr>
        <w:t>Tech, HC, DI:</w:t>
      </w:r>
      <w:r w:rsidRPr="004B1211">
        <w:t> Directly competes with the convening power of events like the Goldman Sachs Technology and Internet Conference. A JPM-hosted "Future of AI in Industrials Summit" or a "Next-Generation Biotech Innovation Forum" could become equally influential.</w:t>
      </w:r>
      <w:r w:rsidRPr="004B1211">
        <w:br/>
        <w:t>* </w:t>
      </w:r>
      <w:r w:rsidRPr="004B1211">
        <w:rPr>
          <w:b/>
          <w:bCs/>
        </w:rPr>
        <w:t>Solves Problem Of:</w:t>
      </w:r>
      <w:r w:rsidRPr="004B1211">
        <w:t> Competitors using their conferences as major deal origination and branding platforms; JPM not fully leveraging its own convening power to drive strategic advisory dialogues.</w:t>
      </w:r>
      <w:r w:rsidRPr="004B1211">
        <w:br/>
        <w:t>* </w:t>
      </w:r>
      <w:r w:rsidRPr="004B1211">
        <w:rPr>
          <w:b/>
          <w:bCs/>
        </w:rPr>
        <w:t>Benefit:</w:t>
      </w:r>
      <w:r w:rsidRPr="004B1211">
        <w:t> Strengthens JPM's brand as a visionary leader in key sectors, provides unparalleled access to decision-makers, and creates a fertile ground for originating high-value M&amp;A advisory and other CIB mandates.</w:t>
      </w:r>
    </w:p>
    <w:p w14:paraId="30900AA6" w14:textId="77777777" w:rsidR="004B1211" w:rsidRDefault="004B1211"/>
    <w:p w14:paraId="61B220EA" w14:textId="77777777" w:rsidR="004B1211" w:rsidRDefault="004B1211"/>
    <w:p w14:paraId="32C04AFB" w14:textId="77777777" w:rsidR="004B1211" w:rsidRDefault="004B1211"/>
    <w:p w14:paraId="00ABC137" w14:textId="77777777" w:rsidR="004B1211" w:rsidRDefault="004B1211"/>
    <w:p w14:paraId="62AEDAF7" w14:textId="77777777" w:rsidR="004B1211" w:rsidRDefault="004B1211"/>
    <w:sectPr w:rsidR="004B1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E57"/>
    <w:multiLevelType w:val="multilevel"/>
    <w:tmpl w:val="703C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6B28"/>
    <w:multiLevelType w:val="multilevel"/>
    <w:tmpl w:val="7696E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546BE"/>
    <w:multiLevelType w:val="multilevel"/>
    <w:tmpl w:val="6BE4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8270F"/>
    <w:multiLevelType w:val="multilevel"/>
    <w:tmpl w:val="63FC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D5F8D"/>
    <w:multiLevelType w:val="multilevel"/>
    <w:tmpl w:val="D4D6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D3791D"/>
    <w:multiLevelType w:val="multilevel"/>
    <w:tmpl w:val="59EC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633BD"/>
    <w:multiLevelType w:val="multilevel"/>
    <w:tmpl w:val="4E74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53030E"/>
    <w:multiLevelType w:val="multilevel"/>
    <w:tmpl w:val="9FBA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25286"/>
    <w:multiLevelType w:val="multilevel"/>
    <w:tmpl w:val="38E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22A7A"/>
    <w:multiLevelType w:val="multilevel"/>
    <w:tmpl w:val="A70C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F4310"/>
    <w:multiLevelType w:val="multilevel"/>
    <w:tmpl w:val="1088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629DC"/>
    <w:multiLevelType w:val="multilevel"/>
    <w:tmpl w:val="3D7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B542C"/>
    <w:multiLevelType w:val="multilevel"/>
    <w:tmpl w:val="D066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4556E"/>
    <w:multiLevelType w:val="multilevel"/>
    <w:tmpl w:val="3DF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84BF9"/>
    <w:multiLevelType w:val="multilevel"/>
    <w:tmpl w:val="A3C0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D4D44"/>
    <w:multiLevelType w:val="multilevel"/>
    <w:tmpl w:val="B938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37AB9"/>
    <w:multiLevelType w:val="multilevel"/>
    <w:tmpl w:val="DC22A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F80560"/>
    <w:multiLevelType w:val="multilevel"/>
    <w:tmpl w:val="DCFC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DF02FD"/>
    <w:multiLevelType w:val="multilevel"/>
    <w:tmpl w:val="9332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D4FC9"/>
    <w:multiLevelType w:val="multilevel"/>
    <w:tmpl w:val="50F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F4A35"/>
    <w:multiLevelType w:val="multilevel"/>
    <w:tmpl w:val="4F08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35645"/>
    <w:multiLevelType w:val="multilevel"/>
    <w:tmpl w:val="B3A2F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2D4073"/>
    <w:multiLevelType w:val="multilevel"/>
    <w:tmpl w:val="9E1625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63DEE"/>
    <w:multiLevelType w:val="multilevel"/>
    <w:tmpl w:val="3E46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B2D0D"/>
    <w:multiLevelType w:val="multilevel"/>
    <w:tmpl w:val="195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B5F62"/>
    <w:multiLevelType w:val="multilevel"/>
    <w:tmpl w:val="E6A2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D746F"/>
    <w:multiLevelType w:val="multilevel"/>
    <w:tmpl w:val="4090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376B1"/>
    <w:multiLevelType w:val="multilevel"/>
    <w:tmpl w:val="8408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B41D5E"/>
    <w:multiLevelType w:val="multilevel"/>
    <w:tmpl w:val="A53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C4389"/>
    <w:multiLevelType w:val="multilevel"/>
    <w:tmpl w:val="3C2A7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8A3A37"/>
    <w:multiLevelType w:val="multilevel"/>
    <w:tmpl w:val="26C8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002D3E"/>
    <w:multiLevelType w:val="multilevel"/>
    <w:tmpl w:val="CF5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6D354A"/>
    <w:multiLevelType w:val="multilevel"/>
    <w:tmpl w:val="195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282099">
    <w:abstractNumId w:val="6"/>
  </w:num>
  <w:num w:numId="2" w16cid:durableId="911235799">
    <w:abstractNumId w:val="17"/>
  </w:num>
  <w:num w:numId="3" w16cid:durableId="2000502052">
    <w:abstractNumId w:val="23"/>
  </w:num>
  <w:num w:numId="4" w16cid:durableId="84158755">
    <w:abstractNumId w:val="21"/>
  </w:num>
  <w:num w:numId="5" w16cid:durableId="2129546608">
    <w:abstractNumId w:val="1"/>
  </w:num>
  <w:num w:numId="6" w16cid:durableId="1900048174">
    <w:abstractNumId w:val="1"/>
    <w:lvlOverride w:ilvl="2">
      <w:lvl w:ilvl="2">
        <w:numFmt w:val="decimal"/>
        <w:lvlText w:val="%3."/>
        <w:lvlJc w:val="left"/>
      </w:lvl>
    </w:lvlOverride>
  </w:num>
  <w:num w:numId="7" w16cid:durableId="1777291561">
    <w:abstractNumId w:val="16"/>
  </w:num>
  <w:num w:numId="8" w16cid:durableId="233394755">
    <w:abstractNumId w:val="29"/>
  </w:num>
  <w:num w:numId="9" w16cid:durableId="1120958415">
    <w:abstractNumId w:val="19"/>
  </w:num>
  <w:num w:numId="10" w16cid:durableId="590815982">
    <w:abstractNumId w:val="22"/>
  </w:num>
  <w:num w:numId="11" w16cid:durableId="1081028580">
    <w:abstractNumId w:val="3"/>
  </w:num>
  <w:num w:numId="12" w16cid:durableId="2030636556">
    <w:abstractNumId w:val="32"/>
  </w:num>
  <w:num w:numId="13" w16cid:durableId="299918258">
    <w:abstractNumId w:val="4"/>
  </w:num>
  <w:num w:numId="14" w16cid:durableId="1530725077">
    <w:abstractNumId w:val="28"/>
  </w:num>
  <w:num w:numId="15" w16cid:durableId="33237532">
    <w:abstractNumId w:val="26"/>
  </w:num>
  <w:num w:numId="16" w16cid:durableId="33776075">
    <w:abstractNumId w:val="20"/>
  </w:num>
  <w:num w:numId="17" w16cid:durableId="33820906">
    <w:abstractNumId w:val="31"/>
  </w:num>
  <w:num w:numId="18" w16cid:durableId="11303271">
    <w:abstractNumId w:val="27"/>
  </w:num>
  <w:num w:numId="19" w16cid:durableId="1030953469">
    <w:abstractNumId w:val="18"/>
  </w:num>
  <w:num w:numId="20" w16cid:durableId="2079788059">
    <w:abstractNumId w:val="15"/>
  </w:num>
  <w:num w:numId="21" w16cid:durableId="608009017">
    <w:abstractNumId w:val="14"/>
  </w:num>
  <w:num w:numId="22" w16cid:durableId="1047219894">
    <w:abstractNumId w:val="2"/>
  </w:num>
  <w:num w:numId="23" w16cid:durableId="1338270345">
    <w:abstractNumId w:val="12"/>
  </w:num>
  <w:num w:numId="24" w16cid:durableId="479276261">
    <w:abstractNumId w:val="30"/>
  </w:num>
  <w:num w:numId="25" w16cid:durableId="309796956">
    <w:abstractNumId w:val="8"/>
  </w:num>
  <w:num w:numId="26" w16cid:durableId="1252739093">
    <w:abstractNumId w:val="11"/>
  </w:num>
  <w:num w:numId="27" w16cid:durableId="2084646224">
    <w:abstractNumId w:val="9"/>
  </w:num>
  <w:num w:numId="28" w16cid:durableId="1293093202">
    <w:abstractNumId w:val="13"/>
  </w:num>
  <w:num w:numId="29" w16cid:durableId="327486462">
    <w:abstractNumId w:val="24"/>
  </w:num>
  <w:num w:numId="30" w16cid:durableId="2139492916">
    <w:abstractNumId w:val="25"/>
  </w:num>
  <w:num w:numId="31" w16cid:durableId="1193572723">
    <w:abstractNumId w:val="10"/>
  </w:num>
  <w:num w:numId="32" w16cid:durableId="1998612995">
    <w:abstractNumId w:val="0"/>
  </w:num>
  <w:num w:numId="33" w16cid:durableId="1428118216">
    <w:abstractNumId w:val="7"/>
  </w:num>
  <w:num w:numId="34" w16cid:durableId="1353802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25"/>
    <w:rsid w:val="0019212B"/>
    <w:rsid w:val="002B3410"/>
    <w:rsid w:val="003A3273"/>
    <w:rsid w:val="004B1211"/>
    <w:rsid w:val="00551325"/>
    <w:rsid w:val="005E3C5D"/>
    <w:rsid w:val="005F0609"/>
    <w:rsid w:val="005F357C"/>
    <w:rsid w:val="00752642"/>
    <w:rsid w:val="008572DB"/>
    <w:rsid w:val="008739C0"/>
    <w:rsid w:val="00A138D8"/>
    <w:rsid w:val="00E7637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1F40"/>
  <w15:chartTrackingRefBased/>
  <w15:docId w15:val="{C38B04FD-0962-4491-926E-575A6A56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32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5132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5132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51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32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5132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5132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51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325"/>
    <w:rPr>
      <w:rFonts w:eastAsiaTheme="majorEastAsia" w:cstheme="majorBidi"/>
      <w:color w:val="272727" w:themeColor="text1" w:themeTint="D8"/>
    </w:rPr>
  </w:style>
  <w:style w:type="paragraph" w:styleId="Title">
    <w:name w:val="Title"/>
    <w:basedOn w:val="Normal"/>
    <w:next w:val="Normal"/>
    <w:link w:val="TitleChar"/>
    <w:uiPriority w:val="10"/>
    <w:qFormat/>
    <w:rsid w:val="0055132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5132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5132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5132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51325"/>
    <w:pPr>
      <w:spacing w:before="160"/>
      <w:jc w:val="center"/>
    </w:pPr>
    <w:rPr>
      <w:i/>
      <w:iCs/>
      <w:color w:val="404040" w:themeColor="text1" w:themeTint="BF"/>
    </w:rPr>
  </w:style>
  <w:style w:type="character" w:customStyle="1" w:styleId="QuoteChar">
    <w:name w:val="Quote Char"/>
    <w:basedOn w:val="DefaultParagraphFont"/>
    <w:link w:val="Quote"/>
    <w:uiPriority w:val="29"/>
    <w:rsid w:val="00551325"/>
    <w:rPr>
      <w:i/>
      <w:iCs/>
      <w:color w:val="404040" w:themeColor="text1" w:themeTint="BF"/>
    </w:rPr>
  </w:style>
  <w:style w:type="paragraph" w:styleId="ListParagraph">
    <w:name w:val="List Paragraph"/>
    <w:basedOn w:val="Normal"/>
    <w:uiPriority w:val="34"/>
    <w:qFormat/>
    <w:rsid w:val="00551325"/>
    <w:pPr>
      <w:ind w:left="720"/>
      <w:contextualSpacing/>
    </w:pPr>
  </w:style>
  <w:style w:type="character" w:styleId="IntenseEmphasis">
    <w:name w:val="Intense Emphasis"/>
    <w:basedOn w:val="DefaultParagraphFont"/>
    <w:uiPriority w:val="21"/>
    <w:qFormat/>
    <w:rsid w:val="00551325"/>
    <w:rPr>
      <w:i/>
      <w:iCs/>
      <w:color w:val="0F4761" w:themeColor="accent1" w:themeShade="BF"/>
    </w:rPr>
  </w:style>
  <w:style w:type="paragraph" w:styleId="IntenseQuote">
    <w:name w:val="Intense Quote"/>
    <w:basedOn w:val="Normal"/>
    <w:next w:val="Normal"/>
    <w:link w:val="IntenseQuoteChar"/>
    <w:uiPriority w:val="30"/>
    <w:qFormat/>
    <w:rsid w:val="00551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325"/>
    <w:rPr>
      <w:i/>
      <w:iCs/>
      <w:color w:val="0F4761" w:themeColor="accent1" w:themeShade="BF"/>
    </w:rPr>
  </w:style>
  <w:style w:type="character" w:styleId="IntenseReference">
    <w:name w:val="Intense Reference"/>
    <w:basedOn w:val="DefaultParagraphFont"/>
    <w:uiPriority w:val="32"/>
    <w:qFormat/>
    <w:rsid w:val="005513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2752">
      <w:bodyDiv w:val="1"/>
      <w:marLeft w:val="0"/>
      <w:marRight w:val="0"/>
      <w:marTop w:val="0"/>
      <w:marBottom w:val="0"/>
      <w:divBdr>
        <w:top w:val="none" w:sz="0" w:space="0" w:color="auto"/>
        <w:left w:val="none" w:sz="0" w:space="0" w:color="auto"/>
        <w:bottom w:val="none" w:sz="0" w:space="0" w:color="auto"/>
        <w:right w:val="none" w:sz="0" w:space="0" w:color="auto"/>
      </w:divBdr>
      <w:divsChild>
        <w:div w:id="50886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77515">
      <w:bodyDiv w:val="1"/>
      <w:marLeft w:val="0"/>
      <w:marRight w:val="0"/>
      <w:marTop w:val="0"/>
      <w:marBottom w:val="0"/>
      <w:divBdr>
        <w:top w:val="none" w:sz="0" w:space="0" w:color="auto"/>
        <w:left w:val="none" w:sz="0" w:space="0" w:color="auto"/>
        <w:bottom w:val="none" w:sz="0" w:space="0" w:color="auto"/>
        <w:right w:val="none" w:sz="0" w:space="0" w:color="auto"/>
      </w:divBdr>
      <w:divsChild>
        <w:div w:id="1985500388">
          <w:marLeft w:val="0"/>
          <w:marRight w:val="0"/>
          <w:marTop w:val="0"/>
          <w:marBottom w:val="0"/>
          <w:divBdr>
            <w:top w:val="none" w:sz="0" w:space="0" w:color="auto"/>
            <w:left w:val="none" w:sz="0" w:space="0" w:color="auto"/>
            <w:bottom w:val="none" w:sz="0" w:space="0" w:color="auto"/>
            <w:right w:val="none" w:sz="0" w:space="0" w:color="auto"/>
          </w:divBdr>
          <w:divsChild>
            <w:div w:id="971406291">
              <w:marLeft w:val="0"/>
              <w:marRight w:val="0"/>
              <w:marTop w:val="0"/>
              <w:marBottom w:val="0"/>
              <w:divBdr>
                <w:top w:val="none" w:sz="0" w:space="0" w:color="auto"/>
                <w:left w:val="none" w:sz="0" w:space="0" w:color="auto"/>
                <w:bottom w:val="none" w:sz="0" w:space="0" w:color="auto"/>
                <w:right w:val="none" w:sz="0" w:space="0" w:color="auto"/>
              </w:divBdr>
              <w:divsChild>
                <w:div w:id="989405001">
                  <w:marLeft w:val="0"/>
                  <w:marRight w:val="0"/>
                  <w:marTop w:val="0"/>
                  <w:marBottom w:val="0"/>
                  <w:divBdr>
                    <w:top w:val="none" w:sz="0" w:space="0" w:color="auto"/>
                    <w:left w:val="none" w:sz="0" w:space="0" w:color="auto"/>
                    <w:bottom w:val="none" w:sz="0" w:space="0" w:color="auto"/>
                    <w:right w:val="none" w:sz="0" w:space="0" w:color="auto"/>
                  </w:divBdr>
                  <w:divsChild>
                    <w:div w:id="928658580">
                      <w:marLeft w:val="0"/>
                      <w:marRight w:val="0"/>
                      <w:marTop w:val="0"/>
                      <w:marBottom w:val="0"/>
                      <w:divBdr>
                        <w:top w:val="none" w:sz="0" w:space="0" w:color="auto"/>
                        <w:left w:val="none" w:sz="0" w:space="0" w:color="auto"/>
                        <w:bottom w:val="none" w:sz="0" w:space="0" w:color="auto"/>
                        <w:right w:val="none" w:sz="0" w:space="0" w:color="auto"/>
                      </w:divBdr>
                      <w:divsChild>
                        <w:div w:id="1548104976">
                          <w:marLeft w:val="0"/>
                          <w:marRight w:val="0"/>
                          <w:marTop w:val="0"/>
                          <w:marBottom w:val="0"/>
                          <w:divBdr>
                            <w:top w:val="none" w:sz="0" w:space="0" w:color="auto"/>
                            <w:left w:val="none" w:sz="0" w:space="0" w:color="auto"/>
                            <w:bottom w:val="none" w:sz="0" w:space="0" w:color="auto"/>
                            <w:right w:val="none" w:sz="0" w:space="0" w:color="auto"/>
                          </w:divBdr>
                          <w:divsChild>
                            <w:div w:id="1389722795">
                              <w:marLeft w:val="0"/>
                              <w:marRight w:val="0"/>
                              <w:marTop w:val="0"/>
                              <w:marBottom w:val="0"/>
                              <w:divBdr>
                                <w:top w:val="none" w:sz="0" w:space="0" w:color="auto"/>
                                <w:left w:val="none" w:sz="0" w:space="0" w:color="auto"/>
                                <w:bottom w:val="none" w:sz="0" w:space="0" w:color="auto"/>
                                <w:right w:val="none" w:sz="0" w:space="0" w:color="auto"/>
                              </w:divBdr>
                              <w:divsChild>
                                <w:div w:id="49958976">
                                  <w:marLeft w:val="0"/>
                                  <w:marRight w:val="0"/>
                                  <w:marTop w:val="0"/>
                                  <w:marBottom w:val="0"/>
                                  <w:divBdr>
                                    <w:top w:val="none" w:sz="0" w:space="0" w:color="auto"/>
                                    <w:left w:val="none" w:sz="0" w:space="0" w:color="auto"/>
                                    <w:bottom w:val="none" w:sz="0" w:space="0" w:color="auto"/>
                                    <w:right w:val="none" w:sz="0" w:space="0" w:color="auto"/>
                                  </w:divBdr>
                                  <w:divsChild>
                                    <w:div w:id="1486774235">
                                      <w:marLeft w:val="0"/>
                                      <w:marRight w:val="0"/>
                                      <w:marTop w:val="0"/>
                                      <w:marBottom w:val="0"/>
                                      <w:divBdr>
                                        <w:top w:val="none" w:sz="0" w:space="0" w:color="auto"/>
                                        <w:left w:val="none" w:sz="0" w:space="0" w:color="auto"/>
                                        <w:bottom w:val="none" w:sz="0" w:space="0" w:color="auto"/>
                                        <w:right w:val="none" w:sz="0" w:space="0" w:color="auto"/>
                                      </w:divBdr>
                                      <w:divsChild>
                                        <w:div w:id="11645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330935">
          <w:marLeft w:val="0"/>
          <w:marRight w:val="0"/>
          <w:marTop w:val="0"/>
          <w:marBottom w:val="0"/>
          <w:divBdr>
            <w:top w:val="none" w:sz="0" w:space="0" w:color="auto"/>
            <w:left w:val="none" w:sz="0" w:space="0" w:color="auto"/>
            <w:bottom w:val="none" w:sz="0" w:space="0" w:color="auto"/>
            <w:right w:val="none" w:sz="0" w:space="0" w:color="auto"/>
          </w:divBdr>
          <w:divsChild>
            <w:div w:id="1788817898">
              <w:marLeft w:val="0"/>
              <w:marRight w:val="0"/>
              <w:marTop w:val="0"/>
              <w:marBottom w:val="0"/>
              <w:divBdr>
                <w:top w:val="none" w:sz="0" w:space="0" w:color="auto"/>
                <w:left w:val="none" w:sz="0" w:space="0" w:color="auto"/>
                <w:bottom w:val="none" w:sz="0" w:space="0" w:color="auto"/>
                <w:right w:val="none" w:sz="0" w:space="0" w:color="auto"/>
              </w:divBdr>
              <w:divsChild>
                <w:div w:id="177618731">
                  <w:marLeft w:val="0"/>
                  <w:marRight w:val="0"/>
                  <w:marTop w:val="0"/>
                  <w:marBottom w:val="0"/>
                  <w:divBdr>
                    <w:top w:val="none" w:sz="0" w:space="0" w:color="auto"/>
                    <w:left w:val="none" w:sz="0" w:space="0" w:color="auto"/>
                    <w:bottom w:val="none" w:sz="0" w:space="0" w:color="auto"/>
                    <w:right w:val="none" w:sz="0" w:space="0" w:color="auto"/>
                  </w:divBdr>
                  <w:divsChild>
                    <w:div w:id="274793723">
                      <w:marLeft w:val="0"/>
                      <w:marRight w:val="0"/>
                      <w:marTop w:val="0"/>
                      <w:marBottom w:val="0"/>
                      <w:divBdr>
                        <w:top w:val="none" w:sz="0" w:space="0" w:color="auto"/>
                        <w:left w:val="none" w:sz="0" w:space="0" w:color="auto"/>
                        <w:bottom w:val="none" w:sz="0" w:space="0" w:color="auto"/>
                        <w:right w:val="none" w:sz="0" w:space="0" w:color="auto"/>
                      </w:divBdr>
                      <w:divsChild>
                        <w:div w:id="471948515">
                          <w:marLeft w:val="0"/>
                          <w:marRight w:val="0"/>
                          <w:marTop w:val="0"/>
                          <w:marBottom w:val="0"/>
                          <w:divBdr>
                            <w:top w:val="none" w:sz="0" w:space="0" w:color="auto"/>
                            <w:left w:val="none" w:sz="0" w:space="0" w:color="auto"/>
                            <w:bottom w:val="none" w:sz="0" w:space="0" w:color="auto"/>
                            <w:right w:val="none" w:sz="0" w:space="0" w:color="auto"/>
                          </w:divBdr>
                          <w:divsChild>
                            <w:div w:id="700938282">
                              <w:marLeft w:val="0"/>
                              <w:marRight w:val="0"/>
                              <w:marTop w:val="0"/>
                              <w:marBottom w:val="0"/>
                              <w:divBdr>
                                <w:top w:val="none" w:sz="0" w:space="0" w:color="auto"/>
                                <w:left w:val="none" w:sz="0" w:space="0" w:color="auto"/>
                                <w:bottom w:val="none" w:sz="0" w:space="0" w:color="auto"/>
                                <w:right w:val="none" w:sz="0" w:space="0" w:color="auto"/>
                              </w:divBdr>
                              <w:divsChild>
                                <w:div w:id="133764665">
                                  <w:marLeft w:val="0"/>
                                  <w:marRight w:val="0"/>
                                  <w:marTop w:val="0"/>
                                  <w:marBottom w:val="0"/>
                                  <w:divBdr>
                                    <w:top w:val="none" w:sz="0" w:space="0" w:color="auto"/>
                                    <w:left w:val="none" w:sz="0" w:space="0" w:color="auto"/>
                                    <w:bottom w:val="none" w:sz="0" w:space="0" w:color="auto"/>
                                    <w:right w:val="none" w:sz="0" w:space="0" w:color="auto"/>
                                  </w:divBdr>
                                  <w:divsChild>
                                    <w:div w:id="1867476880">
                                      <w:marLeft w:val="0"/>
                                      <w:marRight w:val="0"/>
                                      <w:marTop w:val="0"/>
                                      <w:marBottom w:val="0"/>
                                      <w:divBdr>
                                        <w:top w:val="none" w:sz="0" w:space="0" w:color="auto"/>
                                        <w:left w:val="none" w:sz="0" w:space="0" w:color="auto"/>
                                        <w:bottom w:val="none" w:sz="0" w:space="0" w:color="auto"/>
                                        <w:right w:val="none" w:sz="0" w:space="0" w:color="auto"/>
                                      </w:divBdr>
                                      <w:divsChild>
                                        <w:div w:id="266013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035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05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700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6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42320">
      <w:bodyDiv w:val="1"/>
      <w:marLeft w:val="0"/>
      <w:marRight w:val="0"/>
      <w:marTop w:val="0"/>
      <w:marBottom w:val="0"/>
      <w:divBdr>
        <w:top w:val="none" w:sz="0" w:space="0" w:color="auto"/>
        <w:left w:val="none" w:sz="0" w:space="0" w:color="auto"/>
        <w:bottom w:val="none" w:sz="0" w:space="0" w:color="auto"/>
        <w:right w:val="none" w:sz="0" w:space="0" w:color="auto"/>
      </w:divBdr>
      <w:divsChild>
        <w:div w:id="611015016">
          <w:marLeft w:val="0"/>
          <w:marRight w:val="0"/>
          <w:marTop w:val="0"/>
          <w:marBottom w:val="0"/>
          <w:divBdr>
            <w:top w:val="none" w:sz="0" w:space="0" w:color="auto"/>
            <w:left w:val="none" w:sz="0" w:space="0" w:color="auto"/>
            <w:bottom w:val="none" w:sz="0" w:space="0" w:color="auto"/>
            <w:right w:val="none" w:sz="0" w:space="0" w:color="auto"/>
          </w:divBdr>
          <w:divsChild>
            <w:div w:id="1614628920">
              <w:marLeft w:val="0"/>
              <w:marRight w:val="0"/>
              <w:marTop w:val="0"/>
              <w:marBottom w:val="0"/>
              <w:divBdr>
                <w:top w:val="none" w:sz="0" w:space="0" w:color="auto"/>
                <w:left w:val="none" w:sz="0" w:space="0" w:color="auto"/>
                <w:bottom w:val="none" w:sz="0" w:space="0" w:color="auto"/>
                <w:right w:val="none" w:sz="0" w:space="0" w:color="auto"/>
              </w:divBdr>
              <w:divsChild>
                <w:div w:id="1052118029">
                  <w:marLeft w:val="0"/>
                  <w:marRight w:val="0"/>
                  <w:marTop w:val="0"/>
                  <w:marBottom w:val="0"/>
                  <w:divBdr>
                    <w:top w:val="none" w:sz="0" w:space="0" w:color="auto"/>
                    <w:left w:val="none" w:sz="0" w:space="0" w:color="auto"/>
                    <w:bottom w:val="none" w:sz="0" w:space="0" w:color="auto"/>
                    <w:right w:val="none" w:sz="0" w:space="0" w:color="auto"/>
                  </w:divBdr>
                  <w:divsChild>
                    <w:div w:id="1019546780">
                      <w:marLeft w:val="0"/>
                      <w:marRight w:val="0"/>
                      <w:marTop w:val="0"/>
                      <w:marBottom w:val="0"/>
                      <w:divBdr>
                        <w:top w:val="none" w:sz="0" w:space="0" w:color="auto"/>
                        <w:left w:val="none" w:sz="0" w:space="0" w:color="auto"/>
                        <w:bottom w:val="none" w:sz="0" w:space="0" w:color="auto"/>
                        <w:right w:val="none" w:sz="0" w:space="0" w:color="auto"/>
                      </w:divBdr>
                      <w:divsChild>
                        <w:div w:id="2126079098">
                          <w:marLeft w:val="0"/>
                          <w:marRight w:val="0"/>
                          <w:marTop w:val="0"/>
                          <w:marBottom w:val="0"/>
                          <w:divBdr>
                            <w:top w:val="none" w:sz="0" w:space="0" w:color="auto"/>
                            <w:left w:val="none" w:sz="0" w:space="0" w:color="auto"/>
                            <w:bottom w:val="none" w:sz="0" w:space="0" w:color="auto"/>
                            <w:right w:val="none" w:sz="0" w:space="0" w:color="auto"/>
                          </w:divBdr>
                          <w:divsChild>
                            <w:div w:id="1542788077">
                              <w:marLeft w:val="0"/>
                              <w:marRight w:val="0"/>
                              <w:marTop w:val="0"/>
                              <w:marBottom w:val="0"/>
                              <w:divBdr>
                                <w:top w:val="none" w:sz="0" w:space="0" w:color="auto"/>
                                <w:left w:val="none" w:sz="0" w:space="0" w:color="auto"/>
                                <w:bottom w:val="none" w:sz="0" w:space="0" w:color="auto"/>
                                <w:right w:val="none" w:sz="0" w:space="0" w:color="auto"/>
                              </w:divBdr>
                              <w:divsChild>
                                <w:div w:id="979307616">
                                  <w:marLeft w:val="0"/>
                                  <w:marRight w:val="0"/>
                                  <w:marTop w:val="0"/>
                                  <w:marBottom w:val="0"/>
                                  <w:divBdr>
                                    <w:top w:val="none" w:sz="0" w:space="0" w:color="auto"/>
                                    <w:left w:val="none" w:sz="0" w:space="0" w:color="auto"/>
                                    <w:bottom w:val="none" w:sz="0" w:space="0" w:color="auto"/>
                                    <w:right w:val="none" w:sz="0" w:space="0" w:color="auto"/>
                                  </w:divBdr>
                                  <w:divsChild>
                                    <w:div w:id="19933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906211">
      <w:bodyDiv w:val="1"/>
      <w:marLeft w:val="0"/>
      <w:marRight w:val="0"/>
      <w:marTop w:val="0"/>
      <w:marBottom w:val="0"/>
      <w:divBdr>
        <w:top w:val="none" w:sz="0" w:space="0" w:color="auto"/>
        <w:left w:val="none" w:sz="0" w:space="0" w:color="auto"/>
        <w:bottom w:val="none" w:sz="0" w:space="0" w:color="auto"/>
        <w:right w:val="none" w:sz="0" w:space="0" w:color="auto"/>
      </w:divBdr>
      <w:divsChild>
        <w:div w:id="1259368373">
          <w:marLeft w:val="0"/>
          <w:marRight w:val="0"/>
          <w:marTop w:val="0"/>
          <w:marBottom w:val="0"/>
          <w:divBdr>
            <w:top w:val="none" w:sz="0" w:space="0" w:color="auto"/>
            <w:left w:val="none" w:sz="0" w:space="0" w:color="auto"/>
            <w:bottom w:val="none" w:sz="0" w:space="0" w:color="auto"/>
            <w:right w:val="none" w:sz="0" w:space="0" w:color="auto"/>
          </w:divBdr>
          <w:divsChild>
            <w:div w:id="1118648746">
              <w:marLeft w:val="0"/>
              <w:marRight w:val="0"/>
              <w:marTop w:val="0"/>
              <w:marBottom w:val="0"/>
              <w:divBdr>
                <w:top w:val="none" w:sz="0" w:space="0" w:color="auto"/>
                <w:left w:val="none" w:sz="0" w:space="0" w:color="auto"/>
                <w:bottom w:val="none" w:sz="0" w:space="0" w:color="auto"/>
                <w:right w:val="none" w:sz="0" w:space="0" w:color="auto"/>
              </w:divBdr>
              <w:divsChild>
                <w:div w:id="2095279187">
                  <w:marLeft w:val="0"/>
                  <w:marRight w:val="0"/>
                  <w:marTop w:val="0"/>
                  <w:marBottom w:val="0"/>
                  <w:divBdr>
                    <w:top w:val="none" w:sz="0" w:space="0" w:color="auto"/>
                    <w:left w:val="none" w:sz="0" w:space="0" w:color="auto"/>
                    <w:bottom w:val="none" w:sz="0" w:space="0" w:color="auto"/>
                    <w:right w:val="none" w:sz="0" w:space="0" w:color="auto"/>
                  </w:divBdr>
                  <w:divsChild>
                    <w:div w:id="2089375310">
                      <w:marLeft w:val="0"/>
                      <w:marRight w:val="0"/>
                      <w:marTop w:val="0"/>
                      <w:marBottom w:val="0"/>
                      <w:divBdr>
                        <w:top w:val="none" w:sz="0" w:space="0" w:color="auto"/>
                        <w:left w:val="none" w:sz="0" w:space="0" w:color="auto"/>
                        <w:bottom w:val="none" w:sz="0" w:space="0" w:color="auto"/>
                        <w:right w:val="none" w:sz="0" w:space="0" w:color="auto"/>
                      </w:divBdr>
                      <w:divsChild>
                        <w:div w:id="1543329067">
                          <w:marLeft w:val="0"/>
                          <w:marRight w:val="0"/>
                          <w:marTop w:val="0"/>
                          <w:marBottom w:val="0"/>
                          <w:divBdr>
                            <w:top w:val="none" w:sz="0" w:space="0" w:color="auto"/>
                            <w:left w:val="none" w:sz="0" w:space="0" w:color="auto"/>
                            <w:bottom w:val="none" w:sz="0" w:space="0" w:color="auto"/>
                            <w:right w:val="none" w:sz="0" w:space="0" w:color="auto"/>
                          </w:divBdr>
                          <w:divsChild>
                            <w:div w:id="141431204">
                              <w:marLeft w:val="0"/>
                              <w:marRight w:val="0"/>
                              <w:marTop w:val="0"/>
                              <w:marBottom w:val="0"/>
                              <w:divBdr>
                                <w:top w:val="none" w:sz="0" w:space="0" w:color="auto"/>
                                <w:left w:val="none" w:sz="0" w:space="0" w:color="auto"/>
                                <w:bottom w:val="none" w:sz="0" w:space="0" w:color="auto"/>
                                <w:right w:val="none" w:sz="0" w:space="0" w:color="auto"/>
                              </w:divBdr>
                              <w:divsChild>
                                <w:div w:id="22824912">
                                  <w:marLeft w:val="0"/>
                                  <w:marRight w:val="0"/>
                                  <w:marTop w:val="0"/>
                                  <w:marBottom w:val="0"/>
                                  <w:divBdr>
                                    <w:top w:val="none" w:sz="0" w:space="0" w:color="auto"/>
                                    <w:left w:val="none" w:sz="0" w:space="0" w:color="auto"/>
                                    <w:bottom w:val="none" w:sz="0" w:space="0" w:color="auto"/>
                                    <w:right w:val="none" w:sz="0" w:space="0" w:color="auto"/>
                                  </w:divBdr>
                                  <w:divsChild>
                                    <w:div w:id="15213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925621">
      <w:bodyDiv w:val="1"/>
      <w:marLeft w:val="0"/>
      <w:marRight w:val="0"/>
      <w:marTop w:val="0"/>
      <w:marBottom w:val="0"/>
      <w:divBdr>
        <w:top w:val="none" w:sz="0" w:space="0" w:color="auto"/>
        <w:left w:val="none" w:sz="0" w:space="0" w:color="auto"/>
        <w:bottom w:val="none" w:sz="0" w:space="0" w:color="auto"/>
        <w:right w:val="none" w:sz="0" w:space="0" w:color="auto"/>
      </w:divBdr>
    </w:div>
    <w:div w:id="343173085">
      <w:bodyDiv w:val="1"/>
      <w:marLeft w:val="0"/>
      <w:marRight w:val="0"/>
      <w:marTop w:val="0"/>
      <w:marBottom w:val="0"/>
      <w:divBdr>
        <w:top w:val="none" w:sz="0" w:space="0" w:color="auto"/>
        <w:left w:val="none" w:sz="0" w:space="0" w:color="auto"/>
        <w:bottom w:val="none" w:sz="0" w:space="0" w:color="auto"/>
        <w:right w:val="none" w:sz="0" w:space="0" w:color="auto"/>
      </w:divBdr>
    </w:div>
    <w:div w:id="416168595">
      <w:bodyDiv w:val="1"/>
      <w:marLeft w:val="0"/>
      <w:marRight w:val="0"/>
      <w:marTop w:val="0"/>
      <w:marBottom w:val="0"/>
      <w:divBdr>
        <w:top w:val="none" w:sz="0" w:space="0" w:color="auto"/>
        <w:left w:val="none" w:sz="0" w:space="0" w:color="auto"/>
        <w:bottom w:val="none" w:sz="0" w:space="0" w:color="auto"/>
        <w:right w:val="none" w:sz="0" w:space="0" w:color="auto"/>
      </w:divBdr>
    </w:div>
    <w:div w:id="467363666">
      <w:bodyDiv w:val="1"/>
      <w:marLeft w:val="0"/>
      <w:marRight w:val="0"/>
      <w:marTop w:val="0"/>
      <w:marBottom w:val="0"/>
      <w:divBdr>
        <w:top w:val="none" w:sz="0" w:space="0" w:color="auto"/>
        <w:left w:val="none" w:sz="0" w:space="0" w:color="auto"/>
        <w:bottom w:val="none" w:sz="0" w:space="0" w:color="auto"/>
        <w:right w:val="none" w:sz="0" w:space="0" w:color="auto"/>
      </w:divBdr>
    </w:div>
    <w:div w:id="546332748">
      <w:bodyDiv w:val="1"/>
      <w:marLeft w:val="0"/>
      <w:marRight w:val="0"/>
      <w:marTop w:val="0"/>
      <w:marBottom w:val="0"/>
      <w:divBdr>
        <w:top w:val="none" w:sz="0" w:space="0" w:color="auto"/>
        <w:left w:val="none" w:sz="0" w:space="0" w:color="auto"/>
        <w:bottom w:val="none" w:sz="0" w:space="0" w:color="auto"/>
        <w:right w:val="none" w:sz="0" w:space="0" w:color="auto"/>
      </w:divBdr>
    </w:div>
    <w:div w:id="554701843">
      <w:bodyDiv w:val="1"/>
      <w:marLeft w:val="0"/>
      <w:marRight w:val="0"/>
      <w:marTop w:val="0"/>
      <w:marBottom w:val="0"/>
      <w:divBdr>
        <w:top w:val="none" w:sz="0" w:space="0" w:color="auto"/>
        <w:left w:val="none" w:sz="0" w:space="0" w:color="auto"/>
        <w:bottom w:val="none" w:sz="0" w:space="0" w:color="auto"/>
        <w:right w:val="none" w:sz="0" w:space="0" w:color="auto"/>
      </w:divBdr>
    </w:div>
    <w:div w:id="600256496">
      <w:bodyDiv w:val="1"/>
      <w:marLeft w:val="0"/>
      <w:marRight w:val="0"/>
      <w:marTop w:val="0"/>
      <w:marBottom w:val="0"/>
      <w:divBdr>
        <w:top w:val="none" w:sz="0" w:space="0" w:color="auto"/>
        <w:left w:val="none" w:sz="0" w:space="0" w:color="auto"/>
        <w:bottom w:val="none" w:sz="0" w:space="0" w:color="auto"/>
        <w:right w:val="none" w:sz="0" w:space="0" w:color="auto"/>
      </w:divBdr>
      <w:divsChild>
        <w:div w:id="1577785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551112">
      <w:bodyDiv w:val="1"/>
      <w:marLeft w:val="0"/>
      <w:marRight w:val="0"/>
      <w:marTop w:val="0"/>
      <w:marBottom w:val="0"/>
      <w:divBdr>
        <w:top w:val="none" w:sz="0" w:space="0" w:color="auto"/>
        <w:left w:val="none" w:sz="0" w:space="0" w:color="auto"/>
        <w:bottom w:val="none" w:sz="0" w:space="0" w:color="auto"/>
        <w:right w:val="none" w:sz="0" w:space="0" w:color="auto"/>
      </w:divBdr>
      <w:divsChild>
        <w:div w:id="1419980771">
          <w:marLeft w:val="0"/>
          <w:marRight w:val="0"/>
          <w:marTop w:val="0"/>
          <w:marBottom w:val="0"/>
          <w:divBdr>
            <w:top w:val="none" w:sz="0" w:space="0" w:color="auto"/>
            <w:left w:val="none" w:sz="0" w:space="0" w:color="auto"/>
            <w:bottom w:val="none" w:sz="0" w:space="0" w:color="auto"/>
            <w:right w:val="none" w:sz="0" w:space="0" w:color="auto"/>
          </w:divBdr>
          <w:divsChild>
            <w:div w:id="1425571724">
              <w:marLeft w:val="0"/>
              <w:marRight w:val="0"/>
              <w:marTop w:val="0"/>
              <w:marBottom w:val="0"/>
              <w:divBdr>
                <w:top w:val="none" w:sz="0" w:space="0" w:color="auto"/>
                <w:left w:val="none" w:sz="0" w:space="0" w:color="auto"/>
                <w:bottom w:val="none" w:sz="0" w:space="0" w:color="auto"/>
                <w:right w:val="none" w:sz="0" w:space="0" w:color="auto"/>
              </w:divBdr>
            </w:div>
          </w:divsChild>
        </w:div>
        <w:div w:id="1383288273">
          <w:marLeft w:val="0"/>
          <w:marRight w:val="0"/>
          <w:marTop w:val="0"/>
          <w:marBottom w:val="0"/>
          <w:divBdr>
            <w:top w:val="none" w:sz="0" w:space="0" w:color="auto"/>
            <w:left w:val="none" w:sz="0" w:space="0" w:color="auto"/>
            <w:bottom w:val="none" w:sz="0" w:space="0" w:color="auto"/>
            <w:right w:val="none" w:sz="0" w:space="0" w:color="auto"/>
          </w:divBdr>
          <w:divsChild>
            <w:div w:id="1669677700">
              <w:marLeft w:val="0"/>
              <w:marRight w:val="0"/>
              <w:marTop w:val="0"/>
              <w:marBottom w:val="0"/>
              <w:divBdr>
                <w:top w:val="none" w:sz="0" w:space="0" w:color="auto"/>
                <w:left w:val="none" w:sz="0" w:space="0" w:color="auto"/>
                <w:bottom w:val="none" w:sz="0" w:space="0" w:color="auto"/>
                <w:right w:val="none" w:sz="0" w:space="0" w:color="auto"/>
              </w:divBdr>
            </w:div>
          </w:divsChild>
        </w:div>
        <w:div w:id="1926693650">
          <w:marLeft w:val="0"/>
          <w:marRight w:val="0"/>
          <w:marTop w:val="0"/>
          <w:marBottom w:val="0"/>
          <w:divBdr>
            <w:top w:val="none" w:sz="0" w:space="0" w:color="auto"/>
            <w:left w:val="none" w:sz="0" w:space="0" w:color="auto"/>
            <w:bottom w:val="none" w:sz="0" w:space="0" w:color="auto"/>
            <w:right w:val="none" w:sz="0" w:space="0" w:color="auto"/>
          </w:divBdr>
          <w:divsChild>
            <w:div w:id="33701962">
              <w:marLeft w:val="0"/>
              <w:marRight w:val="0"/>
              <w:marTop w:val="0"/>
              <w:marBottom w:val="0"/>
              <w:divBdr>
                <w:top w:val="none" w:sz="0" w:space="0" w:color="auto"/>
                <w:left w:val="none" w:sz="0" w:space="0" w:color="auto"/>
                <w:bottom w:val="none" w:sz="0" w:space="0" w:color="auto"/>
                <w:right w:val="none" w:sz="0" w:space="0" w:color="auto"/>
              </w:divBdr>
            </w:div>
          </w:divsChild>
        </w:div>
        <w:div w:id="22438670">
          <w:marLeft w:val="0"/>
          <w:marRight w:val="0"/>
          <w:marTop w:val="0"/>
          <w:marBottom w:val="0"/>
          <w:divBdr>
            <w:top w:val="none" w:sz="0" w:space="0" w:color="auto"/>
            <w:left w:val="none" w:sz="0" w:space="0" w:color="auto"/>
            <w:bottom w:val="none" w:sz="0" w:space="0" w:color="auto"/>
            <w:right w:val="none" w:sz="0" w:space="0" w:color="auto"/>
          </w:divBdr>
          <w:divsChild>
            <w:div w:id="1845363505">
              <w:marLeft w:val="0"/>
              <w:marRight w:val="0"/>
              <w:marTop w:val="0"/>
              <w:marBottom w:val="0"/>
              <w:divBdr>
                <w:top w:val="none" w:sz="0" w:space="0" w:color="auto"/>
                <w:left w:val="none" w:sz="0" w:space="0" w:color="auto"/>
                <w:bottom w:val="none" w:sz="0" w:space="0" w:color="auto"/>
                <w:right w:val="none" w:sz="0" w:space="0" w:color="auto"/>
              </w:divBdr>
            </w:div>
          </w:divsChild>
        </w:div>
        <w:div w:id="994451319">
          <w:marLeft w:val="0"/>
          <w:marRight w:val="0"/>
          <w:marTop w:val="0"/>
          <w:marBottom w:val="0"/>
          <w:divBdr>
            <w:top w:val="none" w:sz="0" w:space="0" w:color="auto"/>
            <w:left w:val="none" w:sz="0" w:space="0" w:color="auto"/>
            <w:bottom w:val="none" w:sz="0" w:space="0" w:color="auto"/>
            <w:right w:val="none" w:sz="0" w:space="0" w:color="auto"/>
          </w:divBdr>
          <w:divsChild>
            <w:div w:id="5098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8285">
      <w:bodyDiv w:val="1"/>
      <w:marLeft w:val="0"/>
      <w:marRight w:val="0"/>
      <w:marTop w:val="0"/>
      <w:marBottom w:val="0"/>
      <w:divBdr>
        <w:top w:val="none" w:sz="0" w:space="0" w:color="auto"/>
        <w:left w:val="none" w:sz="0" w:space="0" w:color="auto"/>
        <w:bottom w:val="none" w:sz="0" w:space="0" w:color="auto"/>
        <w:right w:val="none" w:sz="0" w:space="0" w:color="auto"/>
      </w:divBdr>
    </w:div>
    <w:div w:id="824132178">
      <w:bodyDiv w:val="1"/>
      <w:marLeft w:val="0"/>
      <w:marRight w:val="0"/>
      <w:marTop w:val="0"/>
      <w:marBottom w:val="0"/>
      <w:divBdr>
        <w:top w:val="none" w:sz="0" w:space="0" w:color="auto"/>
        <w:left w:val="none" w:sz="0" w:space="0" w:color="auto"/>
        <w:bottom w:val="none" w:sz="0" w:space="0" w:color="auto"/>
        <w:right w:val="none" w:sz="0" w:space="0" w:color="auto"/>
      </w:divBdr>
      <w:divsChild>
        <w:div w:id="109671609">
          <w:marLeft w:val="0"/>
          <w:marRight w:val="0"/>
          <w:marTop w:val="0"/>
          <w:marBottom w:val="0"/>
          <w:divBdr>
            <w:top w:val="none" w:sz="0" w:space="0" w:color="auto"/>
            <w:left w:val="none" w:sz="0" w:space="0" w:color="auto"/>
            <w:bottom w:val="none" w:sz="0" w:space="0" w:color="auto"/>
            <w:right w:val="none" w:sz="0" w:space="0" w:color="auto"/>
          </w:divBdr>
          <w:divsChild>
            <w:div w:id="2104034251">
              <w:marLeft w:val="0"/>
              <w:marRight w:val="0"/>
              <w:marTop w:val="0"/>
              <w:marBottom w:val="0"/>
              <w:divBdr>
                <w:top w:val="none" w:sz="0" w:space="0" w:color="auto"/>
                <w:left w:val="none" w:sz="0" w:space="0" w:color="auto"/>
                <w:bottom w:val="none" w:sz="0" w:space="0" w:color="auto"/>
                <w:right w:val="none" w:sz="0" w:space="0" w:color="auto"/>
              </w:divBdr>
              <w:divsChild>
                <w:div w:id="582183179">
                  <w:marLeft w:val="0"/>
                  <w:marRight w:val="0"/>
                  <w:marTop w:val="0"/>
                  <w:marBottom w:val="0"/>
                  <w:divBdr>
                    <w:top w:val="none" w:sz="0" w:space="0" w:color="auto"/>
                    <w:left w:val="none" w:sz="0" w:space="0" w:color="auto"/>
                    <w:bottom w:val="none" w:sz="0" w:space="0" w:color="auto"/>
                    <w:right w:val="none" w:sz="0" w:space="0" w:color="auto"/>
                  </w:divBdr>
                  <w:divsChild>
                    <w:div w:id="513958146">
                      <w:marLeft w:val="0"/>
                      <w:marRight w:val="0"/>
                      <w:marTop w:val="0"/>
                      <w:marBottom w:val="0"/>
                      <w:divBdr>
                        <w:top w:val="none" w:sz="0" w:space="0" w:color="auto"/>
                        <w:left w:val="none" w:sz="0" w:space="0" w:color="auto"/>
                        <w:bottom w:val="none" w:sz="0" w:space="0" w:color="auto"/>
                        <w:right w:val="none" w:sz="0" w:space="0" w:color="auto"/>
                      </w:divBdr>
                      <w:divsChild>
                        <w:div w:id="2113813609">
                          <w:marLeft w:val="0"/>
                          <w:marRight w:val="0"/>
                          <w:marTop w:val="0"/>
                          <w:marBottom w:val="0"/>
                          <w:divBdr>
                            <w:top w:val="none" w:sz="0" w:space="0" w:color="auto"/>
                            <w:left w:val="none" w:sz="0" w:space="0" w:color="auto"/>
                            <w:bottom w:val="none" w:sz="0" w:space="0" w:color="auto"/>
                            <w:right w:val="none" w:sz="0" w:space="0" w:color="auto"/>
                          </w:divBdr>
                          <w:divsChild>
                            <w:div w:id="626619770">
                              <w:marLeft w:val="0"/>
                              <w:marRight w:val="0"/>
                              <w:marTop w:val="0"/>
                              <w:marBottom w:val="0"/>
                              <w:divBdr>
                                <w:top w:val="none" w:sz="0" w:space="0" w:color="auto"/>
                                <w:left w:val="none" w:sz="0" w:space="0" w:color="auto"/>
                                <w:bottom w:val="none" w:sz="0" w:space="0" w:color="auto"/>
                                <w:right w:val="none" w:sz="0" w:space="0" w:color="auto"/>
                              </w:divBdr>
                              <w:divsChild>
                                <w:div w:id="1118766501">
                                  <w:marLeft w:val="0"/>
                                  <w:marRight w:val="0"/>
                                  <w:marTop w:val="0"/>
                                  <w:marBottom w:val="0"/>
                                  <w:divBdr>
                                    <w:top w:val="none" w:sz="0" w:space="0" w:color="auto"/>
                                    <w:left w:val="none" w:sz="0" w:space="0" w:color="auto"/>
                                    <w:bottom w:val="none" w:sz="0" w:space="0" w:color="auto"/>
                                    <w:right w:val="none" w:sz="0" w:space="0" w:color="auto"/>
                                  </w:divBdr>
                                  <w:divsChild>
                                    <w:div w:id="1221215055">
                                      <w:marLeft w:val="0"/>
                                      <w:marRight w:val="0"/>
                                      <w:marTop w:val="0"/>
                                      <w:marBottom w:val="0"/>
                                      <w:divBdr>
                                        <w:top w:val="none" w:sz="0" w:space="0" w:color="auto"/>
                                        <w:left w:val="none" w:sz="0" w:space="0" w:color="auto"/>
                                        <w:bottom w:val="none" w:sz="0" w:space="0" w:color="auto"/>
                                        <w:right w:val="none" w:sz="0" w:space="0" w:color="auto"/>
                                      </w:divBdr>
                                      <w:divsChild>
                                        <w:div w:id="17762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681802">
          <w:marLeft w:val="0"/>
          <w:marRight w:val="0"/>
          <w:marTop w:val="0"/>
          <w:marBottom w:val="0"/>
          <w:divBdr>
            <w:top w:val="none" w:sz="0" w:space="0" w:color="auto"/>
            <w:left w:val="none" w:sz="0" w:space="0" w:color="auto"/>
            <w:bottom w:val="none" w:sz="0" w:space="0" w:color="auto"/>
            <w:right w:val="none" w:sz="0" w:space="0" w:color="auto"/>
          </w:divBdr>
          <w:divsChild>
            <w:div w:id="1822966946">
              <w:marLeft w:val="0"/>
              <w:marRight w:val="0"/>
              <w:marTop w:val="0"/>
              <w:marBottom w:val="0"/>
              <w:divBdr>
                <w:top w:val="none" w:sz="0" w:space="0" w:color="auto"/>
                <w:left w:val="none" w:sz="0" w:space="0" w:color="auto"/>
                <w:bottom w:val="none" w:sz="0" w:space="0" w:color="auto"/>
                <w:right w:val="none" w:sz="0" w:space="0" w:color="auto"/>
              </w:divBdr>
              <w:divsChild>
                <w:div w:id="270868064">
                  <w:marLeft w:val="0"/>
                  <w:marRight w:val="0"/>
                  <w:marTop w:val="0"/>
                  <w:marBottom w:val="0"/>
                  <w:divBdr>
                    <w:top w:val="none" w:sz="0" w:space="0" w:color="auto"/>
                    <w:left w:val="none" w:sz="0" w:space="0" w:color="auto"/>
                    <w:bottom w:val="none" w:sz="0" w:space="0" w:color="auto"/>
                    <w:right w:val="none" w:sz="0" w:space="0" w:color="auto"/>
                  </w:divBdr>
                  <w:divsChild>
                    <w:div w:id="823857610">
                      <w:marLeft w:val="0"/>
                      <w:marRight w:val="0"/>
                      <w:marTop w:val="0"/>
                      <w:marBottom w:val="0"/>
                      <w:divBdr>
                        <w:top w:val="none" w:sz="0" w:space="0" w:color="auto"/>
                        <w:left w:val="none" w:sz="0" w:space="0" w:color="auto"/>
                        <w:bottom w:val="none" w:sz="0" w:space="0" w:color="auto"/>
                        <w:right w:val="none" w:sz="0" w:space="0" w:color="auto"/>
                      </w:divBdr>
                      <w:divsChild>
                        <w:div w:id="1920944384">
                          <w:marLeft w:val="0"/>
                          <w:marRight w:val="0"/>
                          <w:marTop w:val="0"/>
                          <w:marBottom w:val="0"/>
                          <w:divBdr>
                            <w:top w:val="none" w:sz="0" w:space="0" w:color="auto"/>
                            <w:left w:val="none" w:sz="0" w:space="0" w:color="auto"/>
                            <w:bottom w:val="none" w:sz="0" w:space="0" w:color="auto"/>
                            <w:right w:val="none" w:sz="0" w:space="0" w:color="auto"/>
                          </w:divBdr>
                          <w:divsChild>
                            <w:div w:id="1044908169">
                              <w:marLeft w:val="0"/>
                              <w:marRight w:val="0"/>
                              <w:marTop w:val="0"/>
                              <w:marBottom w:val="0"/>
                              <w:divBdr>
                                <w:top w:val="none" w:sz="0" w:space="0" w:color="auto"/>
                                <w:left w:val="none" w:sz="0" w:space="0" w:color="auto"/>
                                <w:bottom w:val="none" w:sz="0" w:space="0" w:color="auto"/>
                                <w:right w:val="none" w:sz="0" w:space="0" w:color="auto"/>
                              </w:divBdr>
                              <w:divsChild>
                                <w:div w:id="1512791565">
                                  <w:marLeft w:val="0"/>
                                  <w:marRight w:val="0"/>
                                  <w:marTop w:val="0"/>
                                  <w:marBottom w:val="0"/>
                                  <w:divBdr>
                                    <w:top w:val="none" w:sz="0" w:space="0" w:color="auto"/>
                                    <w:left w:val="none" w:sz="0" w:space="0" w:color="auto"/>
                                    <w:bottom w:val="none" w:sz="0" w:space="0" w:color="auto"/>
                                    <w:right w:val="none" w:sz="0" w:space="0" w:color="auto"/>
                                  </w:divBdr>
                                  <w:divsChild>
                                    <w:div w:id="1574437250">
                                      <w:marLeft w:val="0"/>
                                      <w:marRight w:val="0"/>
                                      <w:marTop w:val="0"/>
                                      <w:marBottom w:val="0"/>
                                      <w:divBdr>
                                        <w:top w:val="none" w:sz="0" w:space="0" w:color="auto"/>
                                        <w:left w:val="none" w:sz="0" w:space="0" w:color="auto"/>
                                        <w:bottom w:val="none" w:sz="0" w:space="0" w:color="auto"/>
                                        <w:right w:val="none" w:sz="0" w:space="0" w:color="auto"/>
                                      </w:divBdr>
                                      <w:divsChild>
                                        <w:div w:id="1011682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076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7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67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1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086974">
      <w:bodyDiv w:val="1"/>
      <w:marLeft w:val="0"/>
      <w:marRight w:val="0"/>
      <w:marTop w:val="0"/>
      <w:marBottom w:val="0"/>
      <w:divBdr>
        <w:top w:val="none" w:sz="0" w:space="0" w:color="auto"/>
        <w:left w:val="none" w:sz="0" w:space="0" w:color="auto"/>
        <w:bottom w:val="none" w:sz="0" w:space="0" w:color="auto"/>
        <w:right w:val="none" w:sz="0" w:space="0" w:color="auto"/>
      </w:divBdr>
    </w:div>
    <w:div w:id="1029838136">
      <w:bodyDiv w:val="1"/>
      <w:marLeft w:val="0"/>
      <w:marRight w:val="0"/>
      <w:marTop w:val="0"/>
      <w:marBottom w:val="0"/>
      <w:divBdr>
        <w:top w:val="none" w:sz="0" w:space="0" w:color="auto"/>
        <w:left w:val="none" w:sz="0" w:space="0" w:color="auto"/>
        <w:bottom w:val="none" w:sz="0" w:space="0" w:color="auto"/>
        <w:right w:val="none" w:sz="0" w:space="0" w:color="auto"/>
      </w:divBdr>
    </w:div>
    <w:div w:id="1129395606">
      <w:bodyDiv w:val="1"/>
      <w:marLeft w:val="0"/>
      <w:marRight w:val="0"/>
      <w:marTop w:val="0"/>
      <w:marBottom w:val="0"/>
      <w:divBdr>
        <w:top w:val="none" w:sz="0" w:space="0" w:color="auto"/>
        <w:left w:val="none" w:sz="0" w:space="0" w:color="auto"/>
        <w:bottom w:val="none" w:sz="0" w:space="0" w:color="auto"/>
        <w:right w:val="none" w:sz="0" w:space="0" w:color="auto"/>
      </w:divBdr>
      <w:divsChild>
        <w:div w:id="1912152776">
          <w:marLeft w:val="0"/>
          <w:marRight w:val="0"/>
          <w:marTop w:val="0"/>
          <w:marBottom w:val="0"/>
          <w:divBdr>
            <w:top w:val="none" w:sz="0" w:space="0" w:color="auto"/>
            <w:left w:val="none" w:sz="0" w:space="0" w:color="auto"/>
            <w:bottom w:val="none" w:sz="0" w:space="0" w:color="auto"/>
            <w:right w:val="none" w:sz="0" w:space="0" w:color="auto"/>
          </w:divBdr>
          <w:divsChild>
            <w:div w:id="694379119">
              <w:marLeft w:val="0"/>
              <w:marRight w:val="0"/>
              <w:marTop w:val="0"/>
              <w:marBottom w:val="0"/>
              <w:divBdr>
                <w:top w:val="none" w:sz="0" w:space="0" w:color="auto"/>
                <w:left w:val="none" w:sz="0" w:space="0" w:color="auto"/>
                <w:bottom w:val="none" w:sz="0" w:space="0" w:color="auto"/>
                <w:right w:val="none" w:sz="0" w:space="0" w:color="auto"/>
              </w:divBdr>
            </w:div>
          </w:divsChild>
        </w:div>
        <w:div w:id="557787988">
          <w:marLeft w:val="0"/>
          <w:marRight w:val="0"/>
          <w:marTop w:val="0"/>
          <w:marBottom w:val="0"/>
          <w:divBdr>
            <w:top w:val="none" w:sz="0" w:space="0" w:color="auto"/>
            <w:left w:val="none" w:sz="0" w:space="0" w:color="auto"/>
            <w:bottom w:val="none" w:sz="0" w:space="0" w:color="auto"/>
            <w:right w:val="none" w:sz="0" w:space="0" w:color="auto"/>
          </w:divBdr>
          <w:divsChild>
            <w:div w:id="47535768">
              <w:marLeft w:val="0"/>
              <w:marRight w:val="0"/>
              <w:marTop w:val="0"/>
              <w:marBottom w:val="0"/>
              <w:divBdr>
                <w:top w:val="none" w:sz="0" w:space="0" w:color="auto"/>
                <w:left w:val="none" w:sz="0" w:space="0" w:color="auto"/>
                <w:bottom w:val="none" w:sz="0" w:space="0" w:color="auto"/>
                <w:right w:val="none" w:sz="0" w:space="0" w:color="auto"/>
              </w:divBdr>
            </w:div>
          </w:divsChild>
        </w:div>
        <w:div w:id="24648217">
          <w:marLeft w:val="0"/>
          <w:marRight w:val="0"/>
          <w:marTop w:val="0"/>
          <w:marBottom w:val="0"/>
          <w:divBdr>
            <w:top w:val="none" w:sz="0" w:space="0" w:color="auto"/>
            <w:left w:val="none" w:sz="0" w:space="0" w:color="auto"/>
            <w:bottom w:val="none" w:sz="0" w:space="0" w:color="auto"/>
            <w:right w:val="none" w:sz="0" w:space="0" w:color="auto"/>
          </w:divBdr>
          <w:divsChild>
            <w:div w:id="428236053">
              <w:marLeft w:val="0"/>
              <w:marRight w:val="0"/>
              <w:marTop w:val="0"/>
              <w:marBottom w:val="0"/>
              <w:divBdr>
                <w:top w:val="none" w:sz="0" w:space="0" w:color="auto"/>
                <w:left w:val="none" w:sz="0" w:space="0" w:color="auto"/>
                <w:bottom w:val="none" w:sz="0" w:space="0" w:color="auto"/>
                <w:right w:val="none" w:sz="0" w:space="0" w:color="auto"/>
              </w:divBdr>
            </w:div>
          </w:divsChild>
        </w:div>
        <w:div w:id="1535265756">
          <w:marLeft w:val="0"/>
          <w:marRight w:val="0"/>
          <w:marTop w:val="0"/>
          <w:marBottom w:val="0"/>
          <w:divBdr>
            <w:top w:val="none" w:sz="0" w:space="0" w:color="auto"/>
            <w:left w:val="none" w:sz="0" w:space="0" w:color="auto"/>
            <w:bottom w:val="none" w:sz="0" w:space="0" w:color="auto"/>
            <w:right w:val="none" w:sz="0" w:space="0" w:color="auto"/>
          </w:divBdr>
          <w:divsChild>
            <w:div w:id="53240234">
              <w:marLeft w:val="0"/>
              <w:marRight w:val="0"/>
              <w:marTop w:val="0"/>
              <w:marBottom w:val="0"/>
              <w:divBdr>
                <w:top w:val="none" w:sz="0" w:space="0" w:color="auto"/>
                <w:left w:val="none" w:sz="0" w:space="0" w:color="auto"/>
                <w:bottom w:val="none" w:sz="0" w:space="0" w:color="auto"/>
                <w:right w:val="none" w:sz="0" w:space="0" w:color="auto"/>
              </w:divBdr>
            </w:div>
          </w:divsChild>
        </w:div>
        <w:div w:id="158620877">
          <w:marLeft w:val="0"/>
          <w:marRight w:val="0"/>
          <w:marTop w:val="0"/>
          <w:marBottom w:val="0"/>
          <w:divBdr>
            <w:top w:val="none" w:sz="0" w:space="0" w:color="auto"/>
            <w:left w:val="none" w:sz="0" w:space="0" w:color="auto"/>
            <w:bottom w:val="none" w:sz="0" w:space="0" w:color="auto"/>
            <w:right w:val="none" w:sz="0" w:space="0" w:color="auto"/>
          </w:divBdr>
          <w:divsChild>
            <w:div w:id="19514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355">
      <w:bodyDiv w:val="1"/>
      <w:marLeft w:val="0"/>
      <w:marRight w:val="0"/>
      <w:marTop w:val="0"/>
      <w:marBottom w:val="0"/>
      <w:divBdr>
        <w:top w:val="none" w:sz="0" w:space="0" w:color="auto"/>
        <w:left w:val="none" w:sz="0" w:space="0" w:color="auto"/>
        <w:bottom w:val="none" w:sz="0" w:space="0" w:color="auto"/>
        <w:right w:val="none" w:sz="0" w:space="0" w:color="auto"/>
      </w:divBdr>
    </w:div>
    <w:div w:id="1299412672">
      <w:bodyDiv w:val="1"/>
      <w:marLeft w:val="0"/>
      <w:marRight w:val="0"/>
      <w:marTop w:val="0"/>
      <w:marBottom w:val="0"/>
      <w:divBdr>
        <w:top w:val="none" w:sz="0" w:space="0" w:color="auto"/>
        <w:left w:val="none" w:sz="0" w:space="0" w:color="auto"/>
        <w:bottom w:val="none" w:sz="0" w:space="0" w:color="auto"/>
        <w:right w:val="none" w:sz="0" w:space="0" w:color="auto"/>
      </w:divBdr>
    </w:div>
    <w:div w:id="1321813518">
      <w:bodyDiv w:val="1"/>
      <w:marLeft w:val="0"/>
      <w:marRight w:val="0"/>
      <w:marTop w:val="0"/>
      <w:marBottom w:val="0"/>
      <w:divBdr>
        <w:top w:val="none" w:sz="0" w:space="0" w:color="auto"/>
        <w:left w:val="none" w:sz="0" w:space="0" w:color="auto"/>
        <w:bottom w:val="none" w:sz="0" w:space="0" w:color="auto"/>
        <w:right w:val="none" w:sz="0" w:space="0" w:color="auto"/>
      </w:divBdr>
    </w:div>
    <w:div w:id="1382747490">
      <w:bodyDiv w:val="1"/>
      <w:marLeft w:val="0"/>
      <w:marRight w:val="0"/>
      <w:marTop w:val="0"/>
      <w:marBottom w:val="0"/>
      <w:divBdr>
        <w:top w:val="none" w:sz="0" w:space="0" w:color="auto"/>
        <w:left w:val="none" w:sz="0" w:space="0" w:color="auto"/>
        <w:bottom w:val="none" w:sz="0" w:space="0" w:color="auto"/>
        <w:right w:val="none" w:sz="0" w:space="0" w:color="auto"/>
      </w:divBdr>
    </w:div>
    <w:div w:id="1574508956">
      <w:bodyDiv w:val="1"/>
      <w:marLeft w:val="0"/>
      <w:marRight w:val="0"/>
      <w:marTop w:val="0"/>
      <w:marBottom w:val="0"/>
      <w:divBdr>
        <w:top w:val="none" w:sz="0" w:space="0" w:color="auto"/>
        <w:left w:val="none" w:sz="0" w:space="0" w:color="auto"/>
        <w:bottom w:val="none" w:sz="0" w:space="0" w:color="auto"/>
        <w:right w:val="none" w:sz="0" w:space="0" w:color="auto"/>
      </w:divBdr>
      <w:divsChild>
        <w:div w:id="1472595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014857">
      <w:bodyDiv w:val="1"/>
      <w:marLeft w:val="0"/>
      <w:marRight w:val="0"/>
      <w:marTop w:val="0"/>
      <w:marBottom w:val="0"/>
      <w:divBdr>
        <w:top w:val="none" w:sz="0" w:space="0" w:color="auto"/>
        <w:left w:val="none" w:sz="0" w:space="0" w:color="auto"/>
        <w:bottom w:val="none" w:sz="0" w:space="0" w:color="auto"/>
        <w:right w:val="none" w:sz="0" w:space="0" w:color="auto"/>
      </w:divBdr>
      <w:divsChild>
        <w:div w:id="1126894352">
          <w:marLeft w:val="0"/>
          <w:marRight w:val="0"/>
          <w:marTop w:val="0"/>
          <w:marBottom w:val="0"/>
          <w:divBdr>
            <w:top w:val="none" w:sz="0" w:space="0" w:color="auto"/>
            <w:left w:val="none" w:sz="0" w:space="0" w:color="auto"/>
            <w:bottom w:val="none" w:sz="0" w:space="0" w:color="auto"/>
            <w:right w:val="none" w:sz="0" w:space="0" w:color="auto"/>
          </w:divBdr>
          <w:divsChild>
            <w:div w:id="816142471">
              <w:marLeft w:val="0"/>
              <w:marRight w:val="0"/>
              <w:marTop w:val="0"/>
              <w:marBottom w:val="0"/>
              <w:divBdr>
                <w:top w:val="none" w:sz="0" w:space="0" w:color="auto"/>
                <w:left w:val="none" w:sz="0" w:space="0" w:color="auto"/>
                <w:bottom w:val="none" w:sz="0" w:space="0" w:color="auto"/>
                <w:right w:val="none" w:sz="0" w:space="0" w:color="auto"/>
              </w:divBdr>
              <w:divsChild>
                <w:div w:id="671104753">
                  <w:marLeft w:val="0"/>
                  <w:marRight w:val="0"/>
                  <w:marTop w:val="0"/>
                  <w:marBottom w:val="0"/>
                  <w:divBdr>
                    <w:top w:val="none" w:sz="0" w:space="0" w:color="auto"/>
                    <w:left w:val="none" w:sz="0" w:space="0" w:color="auto"/>
                    <w:bottom w:val="none" w:sz="0" w:space="0" w:color="auto"/>
                    <w:right w:val="none" w:sz="0" w:space="0" w:color="auto"/>
                  </w:divBdr>
                  <w:divsChild>
                    <w:div w:id="47654108">
                      <w:marLeft w:val="0"/>
                      <w:marRight w:val="0"/>
                      <w:marTop w:val="0"/>
                      <w:marBottom w:val="0"/>
                      <w:divBdr>
                        <w:top w:val="none" w:sz="0" w:space="0" w:color="auto"/>
                        <w:left w:val="none" w:sz="0" w:space="0" w:color="auto"/>
                        <w:bottom w:val="none" w:sz="0" w:space="0" w:color="auto"/>
                        <w:right w:val="none" w:sz="0" w:space="0" w:color="auto"/>
                      </w:divBdr>
                      <w:divsChild>
                        <w:div w:id="1473475499">
                          <w:marLeft w:val="0"/>
                          <w:marRight w:val="0"/>
                          <w:marTop w:val="0"/>
                          <w:marBottom w:val="0"/>
                          <w:divBdr>
                            <w:top w:val="none" w:sz="0" w:space="0" w:color="auto"/>
                            <w:left w:val="none" w:sz="0" w:space="0" w:color="auto"/>
                            <w:bottom w:val="none" w:sz="0" w:space="0" w:color="auto"/>
                            <w:right w:val="none" w:sz="0" w:space="0" w:color="auto"/>
                          </w:divBdr>
                          <w:divsChild>
                            <w:div w:id="164438568">
                              <w:marLeft w:val="0"/>
                              <w:marRight w:val="0"/>
                              <w:marTop w:val="0"/>
                              <w:marBottom w:val="0"/>
                              <w:divBdr>
                                <w:top w:val="none" w:sz="0" w:space="0" w:color="auto"/>
                                <w:left w:val="none" w:sz="0" w:space="0" w:color="auto"/>
                                <w:bottom w:val="none" w:sz="0" w:space="0" w:color="auto"/>
                                <w:right w:val="none" w:sz="0" w:space="0" w:color="auto"/>
                              </w:divBdr>
                              <w:divsChild>
                                <w:div w:id="4140689">
                                  <w:marLeft w:val="0"/>
                                  <w:marRight w:val="0"/>
                                  <w:marTop w:val="0"/>
                                  <w:marBottom w:val="0"/>
                                  <w:divBdr>
                                    <w:top w:val="none" w:sz="0" w:space="0" w:color="auto"/>
                                    <w:left w:val="none" w:sz="0" w:space="0" w:color="auto"/>
                                    <w:bottom w:val="none" w:sz="0" w:space="0" w:color="auto"/>
                                    <w:right w:val="none" w:sz="0" w:space="0" w:color="auto"/>
                                  </w:divBdr>
                                  <w:divsChild>
                                    <w:div w:id="8332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955360">
      <w:bodyDiv w:val="1"/>
      <w:marLeft w:val="0"/>
      <w:marRight w:val="0"/>
      <w:marTop w:val="0"/>
      <w:marBottom w:val="0"/>
      <w:divBdr>
        <w:top w:val="none" w:sz="0" w:space="0" w:color="auto"/>
        <w:left w:val="none" w:sz="0" w:space="0" w:color="auto"/>
        <w:bottom w:val="none" w:sz="0" w:space="0" w:color="auto"/>
        <w:right w:val="none" w:sz="0" w:space="0" w:color="auto"/>
      </w:divBdr>
      <w:divsChild>
        <w:div w:id="129255352">
          <w:marLeft w:val="0"/>
          <w:marRight w:val="0"/>
          <w:marTop w:val="0"/>
          <w:marBottom w:val="0"/>
          <w:divBdr>
            <w:top w:val="none" w:sz="0" w:space="0" w:color="auto"/>
            <w:left w:val="none" w:sz="0" w:space="0" w:color="auto"/>
            <w:bottom w:val="none" w:sz="0" w:space="0" w:color="auto"/>
            <w:right w:val="none" w:sz="0" w:space="0" w:color="auto"/>
          </w:divBdr>
          <w:divsChild>
            <w:div w:id="443575931">
              <w:marLeft w:val="0"/>
              <w:marRight w:val="0"/>
              <w:marTop w:val="0"/>
              <w:marBottom w:val="0"/>
              <w:divBdr>
                <w:top w:val="none" w:sz="0" w:space="0" w:color="auto"/>
                <w:left w:val="none" w:sz="0" w:space="0" w:color="auto"/>
                <w:bottom w:val="none" w:sz="0" w:space="0" w:color="auto"/>
                <w:right w:val="none" w:sz="0" w:space="0" w:color="auto"/>
              </w:divBdr>
              <w:divsChild>
                <w:div w:id="639964509">
                  <w:marLeft w:val="0"/>
                  <w:marRight w:val="0"/>
                  <w:marTop w:val="0"/>
                  <w:marBottom w:val="0"/>
                  <w:divBdr>
                    <w:top w:val="none" w:sz="0" w:space="0" w:color="auto"/>
                    <w:left w:val="none" w:sz="0" w:space="0" w:color="auto"/>
                    <w:bottom w:val="none" w:sz="0" w:space="0" w:color="auto"/>
                    <w:right w:val="none" w:sz="0" w:space="0" w:color="auto"/>
                  </w:divBdr>
                  <w:divsChild>
                    <w:div w:id="1536191733">
                      <w:marLeft w:val="0"/>
                      <w:marRight w:val="0"/>
                      <w:marTop w:val="0"/>
                      <w:marBottom w:val="0"/>
                      <w:divBdr>
                        <w:top w:val="none" w:sz="0" w:space="0" w:color="auto"/>
                        <w:left w:val="none" w:sz="0" w:space="0" w:color="auto"/>
                        <w:bottom w:val="none" w:sz="0" w:space="0" w:color="auto"/>
                        <w:right w:val="none" w:sz="0" w:space="0" w:color="auto"/>
                      </w:divBdr>
                      <w:divsChild>
                        <w:div w:id="1594826409">
                          <w:marLeft w:val="0"/>
                          <w:marRight w:val="0"/>
                          <w:marTop w:val="0"/>
                          <w:marBottom w:val="0"/>
                          <w:divBdr>
                            <w:top w:val="none" w:sz="0" w:space="0" w:color="auto"/>
                            <w:left w:val="none" w:sz="0" w:space="0" w:color="auto"/>
                            <w:bottom w:val="none" w:sz="0" w:space="0" w:color="auto"/>
                            <w:right w:val="none" w:sz="0" w:space="0" w:color="auto"/>
                          </w:divBdr>
                          <w:divsChild>
                            <w:div w:id="1745302234">
                              <w:marLeft w:val="0"/>
                              <w:marRight w:val="0"/>
                              <w:marTop w:val="0"/>
                              <w:marBottom w:val="0"/>
                              <w:divBdr>
                                <w:top w:val="none" w:sz="0" w:space="0" w:color="auto"/>
                                <w:left w:val="none" w:sz="0" w:space="0" w:color="auto"/>
                                <w:bottom w:val="none" w:sz="0" w:space="0" w:color="auto"/>
                                <w:right w:val="none" w:sz="0" w:space="0" w:color="auto"/>
                              </w:divBdr>
                              <w:divsChild>
                                <w:div w:id="307370402">
                                  <w:marLeft w:val="0"/>
                                  <w:marRight w:val="0"/>
                                  <w:marTop w:val="0"/>
                                  <w:marBottom w:val="0"/>
                                  <w:divBdr>
                                    <w:top w:val="none" w:sz="0" w:space="0" w:color="auto"/>
                                    <w:left w:val="none" w:sz="0" w:space="0" w:color="auto"/>
                                    <w:bottom w:val="none" w:sz="0" w:space="0" w:color="auto"/>
                                    <w:right w:val="none" w:sz="0" w:space="0" w:color="auto"/>
                                  </w:divBdr>
                                  <w:divsChild>
                                    <w:div w:id="2345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65095">
      <w:bodyDiv w:val="1"/>
      <w:marLeft w:val="0"/>
      <w:marRight w:val="0"/>
      <w:marTop w:val="0"/>
      <w:marBottom w:val="0"/>
      <w:divBdr>
        <w:top w:val="none" w:sz="0" w:space="0" w:color="auto"/>
        <w:left w:val="none" w:sz="0" w:space="0" w:color="auto"/>
        <w:bottom w:val="none" w:sz="0" w:space="0" w:color="auto"/>
        <w:right w:val="none" w:sz="0" w:space="0" w:color="auto"/>
      </w:divBdr>
      <w:divsChild>
        <w:div w:id="475876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36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16</Pages>
  <Words>4512</Words>
  <Characters>25723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Shah</dc:creator>
  <cp:keywords/>
  <dc:description/>
  <cp:lastModifiedBy>Jainil Shah</cp:lastModifiedBy>
  <cp:revision>4</cp:revision>
  <dcterms:created xsi:type="dcterms:W3CDTF">2025-05-29T20:38:00Z</dcterms:created>
  <dcterms:modified xsi:type="dcterms:W3CDTF">2025-05-30T05:29:00Z</dcterms:modified>
</cp:coreProperties>
</file>