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Independent Cybersecurity Audit &amp; Compliance Report</w:t>
      </w:r>
    </w:p>
    <w:p>
      <w:r>
        <w:t>Audit Scope: Internal Network Architecture and Access Control Policies</w:t>
      </w:r>
    </w:p>
    <w:p/>
    <w:p>
      <w:r>
        <w:t>Executive Summary:</w:t>
      </w:r>
    </w:p>
    <w:p>
      <w:r>
        <w:t>The security audit conducted between Sept 1 and Sept 20 evaluated SOC2 Type II controls.</w:t>
      </w:r>
    </w:p>
    <w:p>
      <w:r>
        <w:t>Assessment Findings:</w:t>
      </w:r>
    </w:p>
    <w:p>
      <w:r>
        <w:t>- Multi-factor authentication is 100% adopted.</w:t>
      </w:r>
    </w:p>
    <w:p>
      <w:r>
        <w:t>- Automated vulnerability scanning remediates high-severity findings in under 48 hours.</w:t>
      </w:r>
    </w:p>
    <w:p>
      <w:r>
        <w:t>Conclusion: Compliance standards satisfactorily 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