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2024 Corporate Financial and Operational Performance Report</w:t>
      </w:r>
    </w:p>
    <w:p>
      <w:r>
        <w:t>Executive Summary:</w:t>
      </w:r>
    </w:p>
    <w:p>
      <w:r>
        <w:t>During the third quarter, consolidated revenue reached $42.5 million, representing an 18% year-over-year growth rate across all business units.</w:t>
      </w:r>
    </w:p>
    <w:p/>
    <w:p>
      <w:r>
        <w:t>Market Analysis &amp; Competitive Landscape:</w:t>
      </w:r>
    </w:p>
    <w:p>
      <w:r>
        <w:t>Enterprise subscription retention remained strong at 112% net retention.</w:t>
      </w:r>
    </w:p>
    <w:p>
      <w:r>
        <w:t>Gross margins expanded by 210 basis points due to cloud infrastructure optimizations.</w:t>
      </w:r>
    </w:p>
    <w:p/>
    <w:p>
      <w:r>
        <w:t>Conclusion &amp; Outlook for Q4:</w:t>
      </w:r>
    </w:p>
    <w:p>
      <w:r>
        <w:t>Management maintains full-year guidance and projects sustained profitability.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