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0F766E"/>
          <w:sz w:val="36"/>
          <w:szCs w:val="36"/>
        </w:rPr>
        <w:t xml:space="preserve">Weekly Status Report</w:t>
      </w:r>
    </w:p>
    <w:p>
      <w:pPr>
        <w:pBdr>
          <w:bottom w:val="single" w:color="0F766E" w:sz="8" w:space="4"/>
        </w:pBdr>
        <w:spacing w:after="200"/>
        <w:jc w:val="center"/>
      </w:pPr>
      <w:r>
        <w:rPr>
          <w:rFonts w:ascii="Calibri" w:cs="Calibri" w:eastAsia="Calibri" w:hAnsi="Calibri"/>
          <w:color w:val="374151"/>
          <w:sz w:val="24"/>
          <w:szCs w:val="24"/>
        </w:rPr>
        <w:t xml:space="preserve">E-Pharma Management System — Phase 5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1500"/>
        <w:gridCol w:w="3600"/>
      </w:tblGrid>
      <w:tr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Employee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Jainish Nikul Shah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Designation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Software Engineer</w:t>
            </w:r>
          </w:p>
        </w:tc>
      </w:tr>
      <w:tr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Project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Techmentee — E-Pharma Management System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Coordinator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Vaishali Pujari</w:t>
            </w:r>
          </w:p>
        </w:tc>
      </w:tr>
      <w:tr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Reporting Period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Phase 5 — 10 August 2026 – 14 August 2026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Report Date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14 August 2026</w:t>
            </w:r>
          </w:p>
        </w:tc>
      </w:tr>
      <w:tr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Phase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Phase 5 — Performance &amp; Security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Overall Status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Completed (ahead of schedule)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1. Summary</w:t>
      </w:r>
    </w:p>
    <w:p>
      <w:p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All Phase 5 objectives — PostgreSQL migration, encryption at rest, audit logging, load testing and an accessibility pass — were completed and verified. The database work was implemented as a single dual-backend data layer rather than a one-way migration: the application runs on SQLite with zero configuration for demonstrations and on PostgreSQL for production simply by setting a connection string, with the same automated test suite proving both. Running the suite against a live PostgreSQL server surfaced three real portability defects (foreign-key declaration order, character-encoding of currency and dash characters, and decimal versus floating-point number formatting) that a code review alone would not have caught; all three were fixed and re-verified.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2. Tasks Completed This Phase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400"/>
        <w:gridCol w:w="4400"/>
      </w:tblGrid>
      <w:tr>
        <w:trPr>
          <w:tblHeader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0F76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Task (Phase 5 scope)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0F76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Status</w:t>
            </w:r>
          </w:p>
        </w:tc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0F76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Remarks</w:t>
            </w:r>
          </w:p>
        </w:tc>
      </w:tr>
      <w:t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PostgreSQL migration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Completed</w:t>
            </w:r>
          </w:p>
        </w:tc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Dual-backend data layer: SQLite by default, PostgreSQL when DATABASE_URL is set. Placeholders, RETURNING id, schema types and transactions are translated in one place. The complete test suite was executed against a live PostgreSQL server and passes on both backends</w:t>
            </w:r>
          </w:p>
        </w:tc>
      </w:tr>
      <w:t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Encryption at rest for medical records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Completed</w:t>
            </w:r>
          </w:p>
        </w:tc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Prescriptions, consultation messages and verification documents are encrypted (Fernet: AES-CBC with HMAC authentication) before storage and decrypted on read, so a stolen database file contains only ciphertext</w:t>
            </w:r>
          </w:p>
        </w:tc>
      </w:tr>
      <w:t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Audit logging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Completed</w:t>
            </w:r>
          </w:p>
        </w:tc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New audit_log table records logins including failed attempts, registrations, approvals, orders, prescriptions and content edits; reviewable by administrators through a dedicated, admin-only endpoint</w:t>
            </w:r>
          </w:p>
        </w:tc>
      </w:tr>
      <w:t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Load testing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Completed</w:t>
            </w:r>
          </w:p>
        </w:tc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Repeatable benchmark script added (loadtest.sh). Measured locally: approximately 2,100–2,900 requests/second across the hot endpoints, 95th-percentile latency at or below 19 ms, with zero failed requests</w:t>
            </w:r>
          </w:p>
        </w:tc>
      </w:tr>
      <w:t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Accessibility pass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Completed</w:t>
            </w:r>
          </w:p>
        </w:tc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Skip-to-content link, visible keyboard focus indicators, ARIA labelling, tab semantics with selection state, live regions for status messages, dialog semantics with focus management and Escape-to-close, alternative text on all images, and reduced-motion support</w:t>
            </w:r>
          </w:p>
        </w:tc>
      </w:tr>
      <w:t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Testing &amp; documentation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Completed</w:t>
            </w:r>
          </w:p>
        </w:tc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Test suite grown to 49 assertions — including one that reads the raw database column to prove the stored medical record is ciphertext — and verified on both SQLite and PostgreSQL; README and analysis document updated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3. Deliverables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Dual-backend data layer supporting SQLite and PostgreSQL from one code path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Encryption module protecting prescriptions, consultation messages and verification documents at rest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Audit trail with an administrator review endpoint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Repeatable load-test script with recorded baseline measurements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Accessibility improvements across the entire interface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Test suite expanded to 49 assertions, passing on both database backends; documentation updated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4. Measured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Throughput: approximately 2,100–2,900 requests/second on the read endpoints; 95th-percentile latency at or below 19 ms; zero failed requests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Correctness: 49 of 49 automated assertions pass on SQLite and on PostgreSQL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Security: the raw database column for a stored prescription was confirmed to contain ciphertext, while the API returns the correct plaintext to the authorised user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5. Plan for Next Phase (Phase 6 — Deployment &amp; Handover)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Production deployment on the agreed hosting environment, served by a production application server behind TLS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Provision the managed PostgreSQL instance and load the encryption key from a secrets manager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Final documentation, demonstration and handover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6. Issues / Blockers</w:t>
      </w:r>
    </w:p>
    <w:p>
      <w:p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None blocking. Before deployment, three confirmations are requested from the coordinator: the target hosting environment and managed PostgreSQL instance; the payment provider to license for go-live (Stripe or Razorpay, both integrated); and the SMS/email provider for live notification delivery. A data-retention policy and consent capture remain outstanding for full HIPAA/GDPR alignment and are proposed for Phase 6.</w:t>
      </w:r>
    </w:p>
    <w:p>
      <w:pPr>
        <w:spacing w:before="20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80"/>
        <w:rPr>
          <w:b/>
          <w:bCs/>
        </w:rPr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Prepared by: Jainish Nikul Shah, Software Engineer</w:t>
      </w:r>
    </w:p>
    <w:p>
      <w:p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Submitted to: Vaishali Pujari, Project Coordinator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2026-08-14T16:04:10.266Z</dcterms:created>
  <dcterms:modified xsi:type="dcterms:W3CDTF">2026-08-14T16:04:10.267Z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