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8A51E" w14:textId="77777777" w:rsidR="009231F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F766E"/>
          <w:sz w:val="36"/>
          <w:szCs w:val="36"/>
        </w:rPr>
        <w:t>Monthly Status Report</w:t>
      </w:r>
    </w:p>
    <w:p w14:paraId="5FE364EF" w14:textId="77777777" w:rsidR="009231FA" w:rsidRDefault="00000000">
      <w:pPr>
        <w:pBdr>
          <w:bottom w:val="single" w:sz="8" w:space="4" w:color="0F766E"/>
        </w:pBdr>
        <w:spacing w:after="200"/>
        <w:jc w:val="center"/>
      </w:pPr>
      <w:r>
        <w:rPr>
          <w:rFonts w:ascii="Calibri" w:eastAsia="Calibri" w:hAnsi="Calibri" w:cs="Calibri"/>
          <w:color w:val="374151"/>
          <w:sz w:val="22"/>
          <w:szCs w:val="22"/>
        </w:rPr>
        <w:t>E-Pharma Management System — Consolidated Summary (Phases 1–4)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1500"/>
        <w:gridCol w:w="3600"/>
      </w:tblGrid>
      <w:tr w:rsidR="009231FA" w14:paraId="5167C3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41A63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Employee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2193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Jainish Nikul Shah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0DE6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Designation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F006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Software Engineer</w:t>
            </w:r>
          </w:p>
        </w:tc>
      </w:tr>
      <w:tr w:rsidR="009231FA" w14:paraId="63F9C5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2ADAA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Project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1032" w14:textId="77777777" w:rsidR="009231FA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Techmentee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— E-Pharma Management System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4C45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Coordinator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C185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Vaishali Pujari</w:t>
            </w:r>
          </w:p>
        </w:tc>
      </w:tr>
      <w:tr w:rsidR="009231FA" w14:paraId="4B2A5A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ED7A7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Reporting Period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DD50" w14:textId="29858DD9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13 July 2026 – </w:t>
            </w:r>
            <w:r w:rsidR="00DA7A13">
              <w:rPr>
                <w:rFonts w:ascii="Calibri" w:eastAsia="Calibri" w:hAnsi="Calibri" w:cs="Calibri"/>
                <w:sz w:val="21"/>
                <w:szCs w:val="21"/>
              </w:rPr>
              <w:t>02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August 2026 (Phases 1–4)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1004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Report Date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5C64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7 August 2026</w:t>
            </w:r>
          </w:p>
        </w:tc>
      </w:tr>
      <w:tr w:rsidR="009231FA" w14:paraId="1285FE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5322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Phases Covered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17FE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Weekly reports: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2, Phase 3, Phase 4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1408C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Overall Status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E318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On Track — 4 of 6 phases complete</w:t>
            </w:r>
          </w:p>
        </w:tc>
      </w:tr>
    </w:tbl>
    <w:p w14:paraId="397A20CC" w14:textId="77777777" w:rsidR="009231FA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1. Executive Summary</w:t>
      </w:r>
    </w:p>
    <w:p w14:paraId="1D4914DE" w14:textId="77777777" w:rsidR="009231FA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This report consolidates all weekly status reports submitted to date (Week 1, Week 2, Phase 3 and Phase 4). Four of the six planned phases are complete and verified end-to-end, ahead of the original schedule. The E-Pharma Management System is a working, integrated platform connecting patients, doctors, pharmacies and administrators, with real payment processing, event-driven notifications, teleconsultation, and a full administrative reporting and content-management suite. Throughout, the guiding principle has been to build production-shaped integrations behind clean configuration seams: every third-party service (payments, Kafka, SMS/email) runs in a zero-config demo mode and switches to the live provider through configuration alone, so the system is always demonstrable while remaining production-ready.</w:t>
      </w:r>
    </w:p>
    <w:p w14:paraId="17B24B90" w14:textId="77777777" w:rsidR="009231FA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2. Phase-by-Phase Progress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100"/>
        <w:gridCol w:w="1200"/>
        <w:gridCol w:w="4600"/>
      </w:tblGrid>
      <w:tr w:rsidR="009231FA" w14:paraId="718EF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8EA8" w14:textId="77777777" w:rsidR="009231F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977A" w14:textId="77777777" w:rsidR="009231F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Scope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9F1FF" w14:textId="77777777" w:rsidR="009231F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92D7" w14:textId="77777777" w:rsidR="009231F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Key deliverables</w:t>
            </w:r>
          </w:p>
        </w:tc>
      </w:tr>
      <w:tr w:rsidR="009231FA" w14:paraId="656E436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8731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2243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Project understanding &amp; system analysis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5EC6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A421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System Analysis &amp; Development Plan; working end-to-end prototype covering all four roles (patient, doctor, pharmacy, admin)</w:t>
            </w:r>
          </w:p>
        </w:tc>
      </w:tr>
      <w:tr w:rsidR="009231FA" w14:paraId="199D4E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AAB4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89C4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Core module hardening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FDE5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FDED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OTP-verified patient registration; verification-document upload for doctors &amp; pharmacies; input-validation &amp; error-handling pass; coding standards</w:t>
            </w:r>
          </w:p>
        </w:tc>
      </w:tr>
      <w:tr w:rsidR="009231FA" w14:paraId="24BA0F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2969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73F0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Commerce &amp; consultation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B360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D4702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Stripe/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Razorpay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payments (signature-verified); Kafka event streaming; teleconsultation chat +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Jitsi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video; refill reminders</w:t>
            </w:r>
          </w:p>
        </w:tc>
      </w:tr>
      <w:tr w:rsidR="009231FA" w14:paraId="43D75B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05C0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94F18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Admin ERP &amp; reporting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3C56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894E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Revenue/consultation/order reports; SMS/email gateway on the Kafka stream; category &amp; specialty management; admin-editable CMS pages</w:t>
            </w:r>
          </w:p>
        </w:tc>
      </w:tr>
      <w:tr w:rsidR="009231FA" w14:paraId="1B53BB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ED09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419E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Performance &amp; security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31F2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Planned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122A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PostgreSQL migration; encryption at rest; audit logs; load testing; accessibility pass</w:t>
            </w:r>
          </w:p>
        </w:tc>
      </w:tr>
      <w:tr w:rsidR="009231FA" w14:paraId="7C9B23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CDC4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7CDEA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Deployment &amp; handover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71A2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Planned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35C8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Production deployment; final documentation; demo &amp; handover</w:t>
            </w:r>
          </w:p>
        </w:tc>
      </w:tr>
    </w:tbl>
    <w:p w14:paraId="669DA5E8" w14:textId="77777777" w:rsidR="009231FA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3. Delivery Metrics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5100"/>
      </w:tblGrid>
      <w:tr w:rsidR="009231FA" w14:paraId="39D64F22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A7D9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Phases completed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FF42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4 of 6 (Phases 1–4) — ahead of schedule</w:t>
            </w:r>
          </w:p>
        </w:tc>
      </w:tr>
      <w:tr w:rsidR="009231FA" w14:paraId="00E977E9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A21E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Application roles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3FC7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Patient · Doctor · Pharmacy · Admin (role-based access on every route)</w:t>
            </w:r>
          </w:p>
        </w:tc>
      </w:tr>
      <w:tr w:rsidR="009231FA" w14:paraId="652C83E8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C51E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Automated tests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CE76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45 end-to-end assertions, all passing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test)</w:t>
            </w:r>
          </w:p>
        </w:tc>
      </w:tr>
      <w:tr w:rsidR="009231FA" w14:paraId="61DC3EC1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4740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Payment providers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58A4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Stripe (default) &amp;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Razorpay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— signature-verified, provider is a config switch</w:t>
            </w:r>
          </w:p>
        </w:tc>
      </w:tr>
      <w:tr w:rsidR="009231FA" w14:paraId="64162610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4E46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Event streaming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BD4D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In-process bus by default; Apache Kafka via configuration</w:t>
            </w:r>
          </w:p>
        </w:tc>
      </w:tr>
      <w:tr w:rsidR="009231FA" w14:paraId="2B838FFF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0DA7" w14:textId="77777777" w:rsidR="009231FA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lastRenderedPageBreak/>
              <w:t>Database tables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9156" w14:textId="77777777" w:rsidR="009231F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13 (users, medicines, orders,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order_items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appointments, prescriptions, notifications, payments, messages,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refill_reminders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taxonomy,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cms_pages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otps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</w:tr>
    </w:tbl>
    <w:p w14:paraId="7137F7EF" w14:textId="77777777" w:rsidR="009231FA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4. Cumulative Capabilities Delivered</w:t>
      </w:r>
    </w:p>
    <w:p w14:paraId="0B2F84E9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Authentication &amp; RBAC — token sessions, </w:t>
      </w:r>
      <w:proofErr w:type="spellStart"/>
      <w:r>
        <w:rPr>
          <w:rFonts w:ascii="Calibri" w:eastAsia="Calibri" w:hAnsi="Calibri" w:cs="Calibri"/>
          <w:sz w:val="21"/>
          <w:szCs w:val="21"/>
        </w:rPr>
        <w:t>scrypt</w:t>
      </w:r>
      <w:proofErr w:type="spellEnd"/>
      <w:r>
        <w:rPr>
          <w:rFonts w:ascii="Calibri" w:eastAsia="Calibri" w:hAnsi="Calibri" w:cs="Calibri"/>
          <w:sz w:val="21"/>
          <w:szCs w:val="21"/>
        </w:rPr>
        <w:t>-hashed passwords, OTP-verified patient sign-up, admin approval of doctors &amp; pharmacies with document verification</w:t>
      </w:r>
    </w:p>
    <w:p w14:paraId="390AA680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Commerce — medicine catalog, cart, stock-safe orders with server-computed totals, signature-verified Stripe/</w:t>
      </w:r>
      <w:proofErr w:type="spellStart"/>
      <w:r>
        <w:rPr>
          <w:rFonts w:ascii="Calibri" w:eastAsia="Calibri" w:hAnsi="Calibri" w:cs="Calibri"/>
          <w:sz w:val="21"/>
          <w:szCs w:val="21"/>
        </w:rPr>
        <w:t>Razorpay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payments, order pipeline and refill reminders</w:t>
      </w:r>
    </w:p>
    <w:p w14:paraId="68A25DC1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Teleconsultation — appointment booking, party-scoped chat and </w:t>
      </w:r>
      <w:proofErr w:type="spellStart"/>
      <w:r>
        <w:rPr>
          <w:rFonts w:ascii="Calibri" w:eastAsia="Calibri" w:hAnsi="Calibri" w:cs="Calibri"/>
          <w:sz w:val="21"/>
          <w:szCs w:val="21"/>
        </w:rPr>
        <w:t>Jitsi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video rooms, doctor e-prescriptions and earnings</w:t>
      </w:r>
    </w:p>
    <w:p w14:paraId="37F3AC7A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Event-driven backbone — orders, payments and notifications published to topics; notification persistence and SMS/email delivery run as independent consumers</w:t>
      </w:r>
    </w:p>
    <w:p w14:paraId="1A2C855C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Administration — KPI dashboard, reporting (revenue, top medicines, consultations), catalog (categories/specialties) and CMS (FAQ/Terms/Privacy) management</w:t>
      </w:r>
    </w:p>
    <w:p w14:paraId="3904E760" w14:textId="77777777" w:rsidR="009231FA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5. Key System-Design Decisions (across the month)</w:t>
      </w:r>
    </w:p>
    <w:p w14:paraId="0C2D1642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Configuration-driven integrations — payments, Kafka and SMS/email each ship a mock and switch to the live provider via environment variables; the demo never needs external infrastructure</w:t>
      </w:r>
    </w:p>
    <w:p w14:paraId="38BBA749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Event-driven decoupling — producers (orders/payments) are separated from consumers (notifications, receipts, delivery) via topics, so new services attach without changing business logic</w:t>
      </w:r>
    </w:p>
    <w:p w14:paraId="120D7609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Provider-neutral payments — a single verified-checkout flow spans Stripe and </w:t>
      </w:r>
      <w:proofErr w:type="spellStart"/>
      <w:r>
        <w:rPr>
          <w:rFonts w:ascii="Calibri" w:eastAsia="Calibri" w:hAnsi="Calibri" w:cs="Calibri"/>
          <w:sz w:val="21"/>
          <w:szCs w:val="21"/>
        </w:rPr>
        <w:t>Razorpay</w:t>
      </w:r>
      <w:proofErr w:type="spellEnd"/>
      <w:r>
        <w:rPr>
          <w:rFonts w:ascii="Calibri" w:eastAsia="Calibri" w:hAnsi="Calibri" w:cs="Calibri"/>
          <w:sz w:val="21"/>
          <w:szCs w:val="21"/>
        </w:rPr>
        <w:t>; the provider is a config switch, not a code change</w:t>
      </w:r>
    </w:p>
    <w:p w14:paraId="2975FAEE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Non-breaking enhancements — managed catalog is advisory (</w:t>
      </w:r>
      <w:proofErr w:type="spellStart"/>
      <w:r>
        <w:rPr>
          <w:rFonts w:ascii="Calibri" w:eastAsia="Calibri" w:hAnsi="Calibri" w:cs="Calibri"/>
          <w:sz w:val="21"/>
          <w:szCs w:val="21"/>
        </w:rPr>
        <w:t>datalist</w:t>
      </w:r>
      <w:proofErr w:type="spellEnd"/>
      <w:r>
        <w:rPr>
          <w:rFonts w:ascii="Calibri" w:eastAsia="Calibri" w:hAnsi="Calibri" w:cs="Calibri"/>
          <w:sz w:val="21"/>
          <w:szCs w:val="21"/>
        </w:rPr>
        <w:t>, not a hard constraint) and the database schema is plain SQL, keeping a clean migration path to PostgreSQL</w:t>
      </w:r>
    </w:p>
    <w:p w14:paraId="2E285720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Testable by construction — a single end-to-end suite (45 assertions) exercises every role and every money/security path against a throwaway database</w:t>
      </w:r>
    </w:p>
    <w:p w14:paraId="5CA33838" w14:textId="77777777" w:rsidR="009231FA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6. Plan for the Coming Month (Phases 5–6)</w:t>
      </w:r>
    </w:p>
    <w:p w14:paraId="7CB0B520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Phase 5 — Performance &amp; security: PostgreSQL migration, encryption at rest for medical records, audit logging, load testing, accessibility pass</w:t>
      </w:r>
    </w:p>
    <w:p w14:paraId="22218556" w14:textId="77777777" w:rsidR="009231F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Phase 6 — Deployment &amp; handover: production deployment, final documentation, demo and handover</w:t>
      </w:r>
    </w:p>
    <w:p w14:paraId="7B04FFB1" w14:textId="77777777" w:rsidR="009231FA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7. Issues / Blockers</w:t>
      </w:r>
    </w:p>
    <w:p w14:paraId="09D22623" w14:textId="77777777" w:rsidR="009231FA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None blocking; the system is fully functional in demo mode. Decisions requested before production hardening: (1) target hosting environment for the PostgreSQL migration and a managed Kafka cluster; (2) the payment provider to license for go-live (Stripe or </w:t>
      </w:r>
      <w:proofErr w:type="spellStart"/>
      <w:r>
        <w:rPr>
          <w:rFonts w:ascii="Calibri" w:eastAsia="Calibri" w:hAnsi="Calibri" w:cs="Calibri"/>
          <w:sz w:val="21"/>
          <w:szCs w:val="21"/>
        </w:rPr>
        <w:t>Razorpay</w:t>
      </w:r>
      <w:proofErr w:type="spellEnd"/>
      <w:r>
        <w:rPr>
          <w:rFonts w:ascii="Calibri" w:eastAsia="Calibri" w:hAnsi="Calibri" w:cs="Calibri"/>
          <w:sz w:val="21"/>
          <w:szCs w:val="21"/>
        </w:rPr>
        <w:t>, both integrated); and (3) the SMS/email provider (Twilio or AWS SES) for live notification delivery.</w:t>
      </w:r>
    </w:p>
    <w:p w14:paraId="5E0DB15A" w14:textId="77777777" w:rsidR="009231FA" w:rsidRDefault="009231FA">
      <w:pPr>
        <w:spacing w:before="200"/>
      </w:pPr>
    </w:p>
    <w:p w14:paraId="4E59C314" w14:textId="77777777" w:rsidR="009231FA" w:rsidRDefault="00000000">
      <w:pPr>
        <w:spacing w:after="80"/>
        <w:rPr>
          <w:b/>
          <w:bCs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Prepared by: Jainish Nikul Shah, Software Engineer</w:t>
      </w:r>
    </w:p>
    <w:p w14:paraId="649DB9FE" w14:textId="77777777" w:rsidR="009231FA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Submitted to: Vaishali Pujari, Project Coordinator</w:t>
      </w:r>
    </w:p>
    <w:sectPr w:rsidR="009231F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08746F"/>
    <w:multiLevelType w:val="hybridMultilevel"/>
    <w:tmpl w:val="4B7C28B8"/>
    <w:lvl w:ilvl="0" w:tplc="68608890">
      <w:start w:val="1"/>
      <w:numFmt w:val="bullet"/>
      <w:lvlText w:val="●"/>
      <w:lvlJc w:val="left"/>
      <w:pPr>
        <w:ind w:left="720" w:hanging="360"/>
      </w:pPr>
    </w:lvl>
    <w:lvl w:ilvl="1" w:tplc="99024C80">
      <w:start w:val="1"/>
      <w:numFmt w:val="bullet"/>
      <w:lvlText w:val="○"/>
      <w:lvlJc w:val="left"/>
      <w:pPr>
        <w:ind w:left="1440" w:hanging="360"/>
      </w:pPr>
    </w:lvl>
    <w:lvl w:ilvl="2" w:tplc="62FCB92C">
      <w:start w:val="1"/>
      <w:numFmt w:val="bullet"/>
      <w:lvlText w:val="■"/>
      <w:lvlJc w:val="left"/>
      <w:pPr>
        <w:ind w:left="2160" w:hanging="360"/>
      </w:pPr>
    </w:lvl>
    <w:lvl w:ilvl="3" w:tplc="8452D3CA">
      <w:start w:val="1"/>
      <w:numFmt w:val="bullet"/>
      <w:lvlText w:val="●"/>
      <w:lvlJc w:val="left"/>
      <w:pPr>
        <w:ind w:left="2880" w:hanging="360"/>
      </w:pPr>
    </w:lvl>
    <w:lvl w:ilvl="4" w:tplc="7BEEF014">
      <w:start w:val="1"/>
      <w:numFmt w:val="bullet"/>
      <w:lvlText w:val="○"/>
      <w:lvlJc w:val="left"/>
      <w:pPr>
        <w:ind w:left="3600" w:hanging="360"/>
      </w:pPr>
    </w:lvl>
    <w:lvl w:ilvl="5" w:tplc="D07A6EDE">
      <w:start w:val="1"/>
      <w:numFmt w:val="bullet"/>
      <w:lvlText w:val="■"/>
      <w:lvlJc w:val="left"/>
      <w:pPr>
        <w:ind w:left="4320" w:hanging="360"/>
      </w:pPr>
    </w:lvl>
    <w:lvl w:ilvl="6" w:tplc="A456E9F4">
      <w:start w:val="1"/>
      <w:numFmt w:val="bullet"/>
      <w:lvlText w:val="●"/>
      <w:lvlJc w:val="left"/>
      <w:pPr>
        <w:ind w:left="5040" w:hanging="360"/>
      </w:pPr>
    </w:lvl>
    <w:lvl w:ilvl="7" w:tplc="FBC0A5B8">
      <w:start w:val="1"/>
      <w:numFmt w:val="bullet"/>
      <w:lvlText w:val="●"/>
      <w:lvlJc w:val="left"/>
      <w:pPr>
        <w:ind w:left="5760" w:hanging="360"/>
      </w:pPr>
    </w:lvl>
    <w:lvl w:ilvl="8" w:tplc="EFCE7B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F84F35"/>
    <w:multiLevelType w:val="hybridMultilevel"/>
    <w:tmpl w:val="D57449C0"/>
    <w:lvl w:ilvl="0" w:tplc="B1C8B5B4">
      <w:start w:val="1"/>
      <w:numFmt w:val="bullet"/>
      <w:lvlText w:val="•"/>
      <w:lvlJc w:val="left"/>
      <w:pPr>
        <w:ind w:left="360" w:hanging="215"/>
      </w:pPr>
    </w:lvl>
    <w:lvl w:ilvl="1" w:tplc="48C4D3EA">
      <w:numFmt w:val="decimal"/>
      <w:lvlText w:val=""/>
      <w:lvlJc w:val="left"/>
    </w:lvl>
    <w:lvl w:ilvl="2" w:tplc="678E3384">
      <w:numFmt w:val="decimal"/>
      <w:lvlText w:val=""/>
      <w:lvlJc w:val="left"/>
    </w:lvl>
    <w:lvl w:ilvl="3" w:tplc="B1BAA7B2">
      <w:numFmt w:val="decimal"/>
      <w:lvlText w:val=""/>
      <w:lvlJc w:val="left"/>
    </w:lvl>
    <w:lvl w:ilvl="4" w:tplc="CC94FEEA">
      <w:numFmt w:val="decimal"/>
      <w:lvlText w:val=""/>
      <w:lvlJc w:val="left"/>
    </w:lvl>
    <w:lvl w:ilvl="5" w:tplc="0060ACD8">
      <w:numFmt w:val="decimal"/>
      <w:lvlText w:val=""/>
      <w:lvlJc w:val="left"/>
    </w:lvl>
    <w:lvl w:ilvl="6" w:tplc="76B215E0">
      <w:numFmt w:val="decimal"/>
      <w:lvlText w:val=""/>
      <w:lvlJc w:val="left"/>
    </w:lvl>
    <w:lvl w:ilvl="7" w:tplc="756AEC5C">
      <w:numFmt w:val="decimal"/>
      <w:lvlText w:val=""/>
      <w:lvlJc w:val="left"/>
    </w:lvl>
    <w:lvl w:ilvl="8" w:tplc="4B9892F8">
      <w:numFmt w:val="decimal"/>
      <w:lvlText w:val=""/>
      <w:lvlJc w:val="left"/>
    </w:lvl>
  </w:abstractNum>
  <w:num w:numId="1" w16cid:durableId="1716849256">
    <w:abstractNumId w:val="0"/>
    <w:lvlOverride w:ilvl="0">
      <w:startOverride w:val="1"/>
    </w:lvlOverride>
  </w:num>
  <w:num w:numId="2" w16cid:durableId="13448213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1FA"/>
    <w:rsid w:val="00155F3D"/>
    <w:rsid w:val="009231FA"/>
    <w:rsid w:val="00DA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AFE73"/>
  <w15:docId w15:val="{9ACAA14F-FC44-0847-B96F-72AF99B0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Jainish Nikul Shah</cp:lastModifiedBy>
  <cp:revision>2</cp:revision>
  <dcterms:created xsi:type="dcterms:W3CDTF">2026-08-07T23:47:00Z</dcterms:created>
  <dcterms:modified xsi:type="dcterms:W3CDTF">2026-08-08T13:19:00Z</dcterms:modified>
</cp:coreProperties>
</file>