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0F766E"/>
          <w:sz w:val="40"/>
          <w:szCs w:val="40"/>
        </w:rPr>
        <w:t xml:space="preserve">Weekly Status Report</w:t>
      </w:r>
    </w:p>
    <w:p>
      <w:pPr>
        <w:spacing w:after="280"/>
        <w:jc w:val="center"/>
      </w:pPr>
      <w:r>
        <w:rPr>
          <w:color w:val="444444"/>
          <w:sz w:val="26"/>
          <w:szCs w:val="26"/>
        </w:rPr>
        <w:t xml:space="preserve">E-Pharma Management System — Phase 8: Fulfilment &amp; Billing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shd w:fill="EFF4F3"/>
            <w:tcMar>
              <w:top w:type="dxa" w:w="80"/>
              <w:left w:type="dxa" w:w="120"/>
              <w:bottom w:type="dxa" w:w="80"/>
              <w:right w:type="dxa" w:w="120"/>
            </w:tcMar>
          </w:tcPr>
          <w:p>
            <w:r>
              <w:rPr>
                <w:b/>
                <w:bCs/>
                <w:sz w:val="20"/>
                <w:szCs w:val="20"/>
              </w:rPr>
              <w:t xml:space="preserve">Field</w:t>
            </w:r>
          </w:p>
        </w:tc>
        <w:tc>
          <w:tcPr>
            <w:shd w:fill="EFF4F3"/>
            <w:tcMar>
              <w:top w:type="dxa" w:w="80"/>
              <w:left w:type="dxa" w:w="120"/>
              <w:bottom w:type="dxa" w:w="80"/>
              <w:right w:type="dxa" w:w="120"/>
            </w:tcMar>
          </w:tcPr>
          <w:p>
            <w:r>
              <w:rPr>
                <w:b/>
                <w:bCs/>
                <w:sz w:val="20"/>
                <w:szCs w:val="20"/>
              </w:rPr>
              <w:t xml:space="preserve">Detail</w:t>
            </w:r>
          </w:p>
        </w:tc>
      </w:tr>
      <w:tr>
        <w:tc>
          <w:tcPr>
            <w:tcMar>
              <w:top w:type="dxa" w:w="80"/>
              <w:left w:type="dxa" w:w="120"/>
              <w:bottom w:type="dxa" w:w="80"/>
              <w:right w:type="dxa" w:w="120"/>
            </w:tcMar>
          </w:tcPr>
          <w:p>
            <w:r>
              <w:rPr>
                <w:b w:val="false"/>
                <w:bCs w:val="false"/>
                <w:sz w:val="20"/>
                <w:szCs w:val="20"/>
              </w:rPr>
              <w:t xml:space="preserve">Prepared by</w:t>
            </w:r>
          </w:p>
        </w:tc>
        <w:tc>
          <w:tcPr>
            <w:tcMar>
              <w:top w:type="dxa" w:w="80"/>
              <w:left w:type="dxa" w:w="120"/>
              <w:bottom w:type="dxa" w:w="80"/>
              <w:right w:type="dxa" w:w="120"/>
            </w:tcMar>
          </w:tcPr>
          <w:p>
            <w:r>
              <w:rPr>
                <w:b w:val="false"/>
                <w:bCs w:val="false"/>
                <w:sz w:val="20"/>
                <w:szCs w:val="20"/>
              </w:rPr>
              <w:t xml:space="preserve">Jainish Nikul Shah, Software Engineer</w:t>
            </w:r>
          </w:p>
        </w:tc>
      </w:tr>
      <w:tr>
        <w:tc>
          <w:tcPr>
            <w:tcMar>
              <w:top w:type="dxa" w:w="80"/>
              <w:left w:type="dxa" w:w="120"/>
              <w:bottom w:type="dxa" w:w="80"/>
              <w:right w:type="dxa" w:w="120"/>
            </w:tcMar>
          </w:tcPr>
          <w:p>
            <w:r>
              <w:rPr>
                <w:b w:val="false"/>
                <w:bCs w:val="false"/>
                <w:sz w:val="20"/>
                <w:szCs w:val="20"/>
              </w:rPr>
              <w:t xml:space="preserve">Project</w:t>
            </w:r>
          </w:p>
        </w:tc>
        <w:tc>
          <w:tcPr>
            <w:tcMar>
              <w:top w:type="dxa" w:w="80"/>
              <w:left w:type="dxa" w:w="120"/>
              <w:bottom w:type="dxa" w:w="80"/>
              <w:right w:type="dxa" w:w="120"/>
            </w:tcMar>
          </w:tcPr>
          <w:p>
            <w:r>
              <w:rPr>
                <w:b w:val="false"/>
                <w:bCs w:val="false"/>
                <w:sz w:val="20"/>
                <w:szCs w:val="20"/>
              </w:rPr>
              <w:t xml:space="preserve">Techmentee — E-Pharma Management System</w:t>
            </w:r>
          </w:p>
        </w:tc>
      </w:tr>
      <w:tr>
        <w:tc>
          <w:tcPr>
            <w:tcMar>
              <w:top w:type="dxa" w:w="80"/>
              <w:left w:type="dxa" w:w="120"/>
              <w:bottom w:type="dxa" w:w="80"/>
              <w:right w:type="dxa" w:w="120"/>
            </w:tcMar>
          </w:tcPr>
          <w:p>
            <w:r>
              <w:rPr>
                <w:b w:val="false"/>
                <w:bCs w:val="false"/>
                <w:sz w:val="20"/>
                <w:szCs w:val="20"/>
              </w:rPr>
              <w:t xml:space="preserve">Project Coordinator</w:t>
            </w:r>
          </w:p>
        </w:tc>
        <w:tc>
          <w:tcPr>
            <w:tcMar>
              <w:top w:type="dxa" w:w="80"/>
              <w:left w:type="dxa" w:w="120"/>
              <w:bottom w:type="dxa" w:w="80"/>
              <w:right w:type="dxa" w:w="120"/>
            </w:tcMar>
          </w:tcPr>
          <w:p>
            <w:r>
              <w:rPr>
                <w:b w:val="false"/>
                <w:bCs w:val="false"/>
                <w:sz w:val="20"/>
                <w:szCs w:val="20"/>
              </w:rPr>
              <w:t xml:space="preserve">Vaishali Pujari</w:t>
            </w:r>
          </w:p>
        </w:tc>
      </w:tr>
      <w:tr>
        <w:tc>
          <w:tcPr>
            <w:tcMar>
              <w:top w:type="dxa" w:w="80"/>
              <w:left w:type="dxa" w:w="120"/>
              <w:bottom w:type="dxa" w:w="80"/>
              <w:right w:type="dxa" w:w="120"/>
            </w:tcMar>
          </w:tcPr>
          <w:p>
            <w:r>
              <w:rPr>
                <w:b w:val="false"/>
                <w:bCs w:val="false"/>
                <w:sz w:val="20"/>
                <w:szCs w:val="20"/>
              </w:rPr>
              <w:t xml:space="preserve">Reporting period</w:t>
            </w:r>
          </w:p>
        </w:tc>
        <w:tc>
          <w:tcPr>
            <w:tcMar>
              <w:top w:type="dxa" w:w="80"/>
              <w:left w:type="dxa" w:w="120"/>
              <w:bottom w:type="dxa" w:w="80"/>
              <w:right w:type="dxa" w:w="120"/>
            </w:tcMar>
          </w:tcPr>
          <w:p>
            <w:r>
              <w:rPr>
                <w:b w:val="false"/>
                <w:bCs w:val="false"/>
                <w:sz w:val="20"/>
                <w:szCs w:val="20"/>
              </w:rPr>
              <w:t xml:space="preserve">31 August 2026 – 6 September 2026</w:t>
            </w:r>
          </w:p>
        </w:tc>
      </w:tr>
      <w:tr>
        <w:tc>
          <w:tcPr>
            <w:tcMar>
              <w:top w:type="dxa" w:w="80"/>
              <w:left w:type="dxa" w:w="120"/>
              <w:bottom w:type="dxa" w:w="80"/>
              <w:right w:type="dxa" w:w="120"/>
            </w:tcMar>
          </w:tcPr>
          <w:p>
            <w:r>
              <w:rPr>
                <w:b w:val="false"/>
                <w:bCs w:val="false"/>
                <w:sz w:val="20"/>
                <w:szCs w:val="20"/>
              </w:rPr>
              <w:t xml:space="preserve">Report date</w:t>
            </w:r>
          </w:p>
        </w:tc>
        <w:tc>
          <w:tcPr>
            <w:tcMar>
              <w:top w:type="dxa" w:w="80"/>
              <w:left w:type="dxa" w:w="120"/>
              <w:bottom w:type="dxa" w:w="80"/>
              <w:right w:type="dxa" w:w="120"/>
            </w:tcMar>
          </w:tcPr>
          <w:p>
            <w:r>
              <w:rPr>
                <w:b w:val="false"/>
                <w:bCs w:val="false"/>
                <w:sz w:val="20"/>
                <w:szCs w:val="20"/>
              </w:rPr>
              <w:t xml:space="preserve">4 September 2026</w:t>
            </w:r>
          </w:p>
        </w:tc>
      </w:tr>
      <w:tr>
        <w:tc>
          <w:tcPr>
            <w:tcMar>
              <w:top w:type="dxa" w:w="80"/>
              <w:left w:type="dxa" w:w="120"/>
              <w:bottom w:type="dxa" w:w="80"/>
              <w:right w:type="dxa" w:w="120"/>
            </w:tcMar>
          </w:tcPr>
          <w:p>
            <w:r>
              <w:rPr>
                <w:b w:val="false"/>
                <w:bCs w:val="false"/>
                <w:sz w:val="20"/>
                <w:szCs w:val="20"/>
              </w:rPr>
              <w:t xml:space="preserve">Phase</w:t>
            </w:r>
          </w:p>
        </w:tc>
        <w:tc>
          <w:tcPr>
            <w:tcMar>
              <w:top w:type="dxa" w:w="80"/>
              <w:left w:type="dxa" w:w="120"/>
              <w:bottom w:type="dxa" w:w="80"/>
              <w:right w:type="dxa" w:w="120"/>
            </w:tcMar>
          </w:tcPr>
          <w:p>
            <w:r>
              <w:rPr>
                <w:b w:val="false"/>
                <w:bCs w:val="false"/>
                <w:sz w:val="20"/>
                <w:szCs w:val="20"/>
              </w:rPr>
              <w:t xml:space="preserve">Phase 8 — Fulfilment &amp; Billing</w:t>
            </w:r>
          </w:p>
        </w:tc>
      </w:tr>
      <w:tr>
        <w:tc>
          <w:tcPr>
            <w:tcMar>
              <w:top w:type="dxa" w:w="80"/>
              <w:left w:type="dxa" w:w="120"/>
              <w:bottom w:type="dxa" w:w="80"/>
              <w:right w:type="dxa" w:w="120"/>
            </w:tcMar>
          </w:tcPr>
          <w:p>
            <w:r>
              <w:rPr>
                <w:b w:val="false"/>
                <w:bCs w:val="false"/>
                <w:sz w:val="20"/>
                <w:szCs w:val="20"/>
              </w:rPr>
              <w:t xml:space="preserve">Status</w:t>
            </w:r>
          </w:p>
        </w:tc>
        <w:tc>
          <w:tcPr>
            <w:tcMar>
              <w:top w:type="dxa" w:w="80"/>
              <w:left w:type="dxa" w:w="120"/>
              <w:bottom w:type="dxa" w:w="80"/>
              <w:right w:type="dxa" w:w="120"/>
            </w:tcMar>
          </w:tcPr>
          <w:p>
            <w:r>
              <w:rPr>
                <w:b w:val="false"/>
                <w:bCs w:val="false"/>
                <w:sz w:val="20"/>
                <w:szCs w:val="20"/>
              </w:rPr>
              <w:t xml:space="preserve">Completed</w:t>
            </w:r>
          </w:p>
        </w:tc>
      </w:tr>
    </w:tbl>
    <w:p>
      <w:pPr>
        <w:pStyle w:val="Heading1"/>
        <w:spacing w:after="140" w:before="320"/>
      </w:pPr>
      <w:r>
        <w:t xml:space="preserve">1. Summary</w:t>
      </w:r>
    </w:p>
    <w:p>
      <w:pPr>
        <w:spacing w:after="120"/>
      </w:pPr>
      <w:r>
        <w:rPr>
          <w:sz w:val="22"/>
          <w:szCs w:val="22"/>
        </w:rPr>
        <w:t xml:space="preserve">This week closed the three remaining items in the pharmacy side of the project workflow document: GST invoicing, delivery assignment, and stock in/out management. Together they complete the order lifecycle — until now the application took a payment and moved an order through its statuses, but produced no tax document, recorded no carrier, and could not explain why a stock level had changed.</w:t>
      </w:r>
    </w:p>
    <w:p>
      <w:pPr>
        <w:spacing w:after="120"/>
      </w:pPr>
      <w:r>
        <w:rPr>
          <w:sz w:val="22"/>
          <w:szCs w:val="22"/>
        </w:rPr>
        <w:t xml:space="preserve">All three are working end to end and are covered by the automated test suite, which now stands at 85 assertions passing on both SQLite and PostgreSQL. No existing behaviour changed: order totals, payment amounts and the checkout flow are exactly as before.</w:t>
      </w:r>
    </w:p>
    <w:p>
      <w:pPr>
        <w:pStyle w:val="Heading1"/>
        <w:spacing w:after="140" w:before="320"/>
      </w:pPr>
      <w:r>
        <w:t xml:space="preserve">2. Work completed</w:t>
      </w:r>
    </w:p>
    <w:p>
      <w:pPr>
        <w:pStyle w:val="Heading2"/>
        <w:spacing w:after="100" w:before="240"/>
      </w:pPr>
      <w:r>
        <w:t xml:space="preserve">2.1 GST tax invoices</w:t>
      </w:r>
    </w:p>
    <w:p>
      <w:pPr>
        <w:pStyle w:val="ListParagraph"/>
        <w:numPr>
          <w:ilvl w:val="0"/>
          <w:numId w:val="1"/>
        </w:numPr>
        <w:spacing w:after="80"/>
      </w:pPr>
      <w:r>
        <w:rPr>
          <w:sz w:val="22"/>
          <w:szCs w:val="22"/>
        </w:rPr>
        <w:t xml:space="preserve">Every paid order now raises a tax invoice carrying the supplier’s GSTIN and drug licence, the buyer’s details, line-wise taxable value, the GST rate and the CGST/SGST split, and a rate-wise tax summary.</w:t>
      </w:r>
    </w:p>
    <w:p>
      <w:pPr>
        <w:pStyle w:val="ListParagraph"/>
        <w:numPr>
          <w:ilvl w:val="0"/>
          <w:numId w:val="1"/>
        </w:numPr>
        <w:spacing w:after="80"/>
      </w:pPr>
      <w:r>
        <w:rPr>
          <w:sz w:val="22"/>
          <w:szCs w:val="22"/>
        </w:rPr>
        <w:t xml:space="preserve">Invoice numbers follow the statutory format — a series that is consecutive per pharmacy and restarts each financial year, for example INV/2026-27/0002.</w:t>
      </w:r>
    </w:p>
    <w:p>
      <w:pPr>
        <w:pStyle w:val="ListParagraph"/>
        <w:numPr>
          <w:ilvl w:val="0"/>
          <w:numId w:val="1"/>
        </w:numPr>
        <w:spacing w:after="80"/>
      </w:pPr>
      <w:r>
        <w:rPr>
          <w:sz w:val="22"/>
          <w:szCs w:val="22"/>
        </w:rPr>
        <w:t xml:space="preserve">Because Indian medicine is sold at MRP, which already contains the tax, the invoice extracts the tax from the price rather than adding it on top. The customer pays exactly the cart total; the invoice explains how much of it was tax.</w:t>
      </w:r>
    </w:p>
    <w:p>
      <w:pPr>
        <w:pStyle w:val="ListParagraph"/>
        <w:numPr>
          <w:ilvl w:val="0"/>
          <w:numId w:val="1"/>
        </w:numPr>
        <w:spacing w:after="80"/>
      </w:pPr>
      <w:r>
        <w:rPr>
          <w:sz w:val="22"/>
          <w:szCs w:val="22"/>
        </w:rPr>
        <w:t xml:space="preserve">The invoice is printable to PDF straight from the browser, so no PDF library had to be added to the project.</w:t>
      </w:r>
    </w:p>
    <w:p>
      <w:pPr>
        <w:pStyle w:val="Heading2"/>
        <w:spacing w:after="100" w:before="240"/>
      </w:pPr>
      <w:r>
        <w:t xml:space="preserve">2.2 Delivery assignment</w:t>
      </w:r>
    </w:p>
    <w:p>
      <w:pPr>
        <w:pStyle w:val="ListParagraph"/>
        <w:numPr>
          <w:ilvl w:val="0"/>
          <w:numId w:val="1"/>
        </w:numPr>
        <w:spacing w:after="80"/>
      </w:pPr>
      <w:r>
        <w:rPr>
          <w:sz w:val="22"/>
          <w:szCs w:val="22"/>
        </w:rPr>
        <w:t xml:space="preserve">A pharmacy assigns each delivery order either to its own rider (name and contact number) or to a partner courier (company and tracking reference).</w:t>
      </w:r>
    </w:p>
    <w:p>
      <w:pPr>
        <w:pStyle w:val="ListParagraph"/>
        <w:numPr>
          <w:ilvl w:val="0"/>
          <w:numId w:val="1"/>
        </w:numPr>
        <w:spacing w:after="80"/>
      </w:pPr>
      <w:r>
        <w:rPr>
          <w:sz w:val="22"/>
          <w:szCs w:val="22"/>
        </w:rPr>
        <w:t xml:space="preserve">An order cannot be marked shipped until a carrier has been assigned — previously a patient could be told their order had shipped with nobody, including the pharmacy, able to say who was holding it.</w:t>
      </w:r>
    </w:p>
    <w:p>
      <w:pPr>
        <w:pStyle w:val="ListParagraph"/>
        <w:numPr>
          <w:ilvl w:val="0"/>
          <w:numId w:val="1"/>
        </w:numPr>
        <w:spacing w:after="80"/>
      </w:pPr>
      <w:r>
        <w:rPr>
          <w:sz w:val="22"/>
          <w:szCs w:val="22"/>
        </w:rPr>
        <w:t xml:space="preserve">The patient sees the carrier and tracking reference on their order, and is notified the moment it is assigned.</w:t>
      </w:r>
    </w:p>
    <w:p>
      <w:pPr>
        <w:pStyle w:val="Heading2"/>
        <w:spacing w:after="100" w:before="240"/>
      </w:pPr>
      <w:r>
        <w:t xml:space="preserve">2.3 Stock in / out ledger</w:t>
      </w:r>
    </w:p>
    <w:p>
      <w:pPr>
        <w:pStyle w:val="ListParagraph"/>
        <w:numPr>
          <w:ilvl w:val="0"/>
          <w:numId w:val="1"/>
        </w:numPr>
        <w:spacing w:after="80"/>
      </w:pPr>
      <w:r>
        <w:rPr>
          <w:sz w:val="22"/>
          <w:szCs w:val="22"/>
        </w:rPr>
        <w:t xml:space="preserve">Every movement of stock is now recorded with its reason — opening balance, sale, restock, customer return, damage, expiry or correction — along with the balance it produced and who caused it.</w:t>
      </w:r>
    </w:p>
    <w:p>
      <w:pPr>
        <w:pStyle w:val="ListParagraph"/>
        <w:numPr>
          <w:ilvl w:val="0"/>
          <w:numId w:val="1"/>
        </w:numPr>
        <w:spacing w:after="80"/>
      </w:pPr>
      <w:r>
        <w:rPr>
          <w:sz w:val="22"/>
          <w:szCs w:val="22"/>
        </w:rPr>
        <w:t xml:space="preserve">Restocking is done by booking a quantity and a reason instead of overwriting the stock figure, so the reason for a change is never lost.</w:t>
      </w:r>
    </w:p>
    <w:p>
      <w:pPr>
        <w:pStyle w:val="ListParagraph"/>
        <w:numPr>
          <w:ilvl w:val="0"/>
          <w:numId w:val="1"/>
        </w:numPr>
        <w:spacing w:after="80"/>
      </w:pPr>
      <w:r>
        <w:rPr>
          <w:sz w:val="22"/>
          <w:szCs w:val="22"/>
        </w:rPr>
        <w:t xml:space="preserve">Editing the stock field directly is still permitted, but it is recorded as an adjustment: no change to a stock level goes unexplained.</w:t>
      </w:r>
    </w:p>
    <w:p>
      <w:pPr>
        <w:pStyle w:val="Heading1"/>
        <w:spacing w:after="140" w:before="320"/>
      </w:pPr>
      <w:r>
        <w:t xml:space="preserve">3. Design decision: what an invoice number has to guarantee</w:t>
      </w:r>
    </w:p>
    <w:p>
      <w:pPr>
        <w:spacing w:after="120"/>
      </w:pPr>
      <w:r>
        <w:rPr>
          <w:sz w:val="22"/>
          <w:szCs w:val="22"/>
        </w:rPr>
        <w:t xml:space="preserve">The obvious way to number invoices is to reuse the order id — it already exists, it is unique, and it never repeats. It is also wrong here, and it is worth recording why.</w:t>
      </w:r>
    </w:p>
    <w:p>
      <w:pPr>
        <w:spacing w:after="120"/>
      </w:pPr>
      <w:r>
        <w:rPr>
          <w:sz w:val="22"/>
          <w:szCs w:val="22"/>
        </w:rPr>
        <w:t xml:space="preserve">A GST tax invoice is a statutory document. CGST Rule 46(b) requires a serial number that is consecutive for the supplier and unique within a financial year. Order ids are allocated across the whole platform, so a single pharmacy’s invoices would read 0004, 0009, 0021 — unique, but not consecutive, and a series full of holes is exactly what an audit asks about.</w:t>
      </w:r>
    </w:p>
    <w:p>
      <w:pPr>
        <w:spacing w:after="120"/>
      </w:pPr>
      <w:r>
        <w:rPr>
          <w:sz w:val="22"/>
          <w:szCs w:val="22"/>
        </w:rPr>
        <w:t xml:space="preserve">The implementation therefore keeps one counter row per pharmacy per financial year. Incrementing it takes a database row lock, which is what makes concurrent checkouts safe: on PostgreSQL a second checkout at the same pharmacy waits for the first to commit, and on SQLite the transaction’s write lock has the same effect. Numbering happens inside the order transaction, so if the order fails the number is released rather than skipped.</w:t>
      </w:r>
    </w:p>
    <w:p>
      <w:pPr>
        <w:spacing w:after="120"/>
      </w:pPr>
      <w:r>
        <w:rPr>
          <w:sz w:val="22"/>
          <w:szCs w:val="22"/>
        </w:rPr>
        <w:t xml:space="preserve">This was verified rather than assumed: twelve simultaneous checkouts spread across four separate server worker processes produced twelve unique invoice numbers, 0001 to 0012, with no duplicates and no gaps. A unique database index backs the reasoning up, so that if the argument were ever wrong the result would be a failed order rather than two customers holding the same invoice number.</w:t>
      </w:r>
    </w:p>
    <w:p>
      <w:pPr>
        <w:pStyle w:val="Heading2"/>
        <w:spacing w:after="100" w:before="240"/>
      </w:pPr>
      <w:r>
        <w:t xml:space="preserve">3.1 A related decision: invoices do not move</w:t>
      </w:r>
    </w:p>
    <w:p>
      <w:pPr>
        <w:spacing w:after="120"/>
      </w:pPr>
      <w:r>
        <w:rPr>
          <w:sz w:val="22"/>
          <w:szCs w:val="22"/>
        </w:rPr>
        <w:t xml:space="preserve">While testing, changing a medicine from the 5% to the 12% GST slab silently rewrote an invoice that had already been issued, because the invoice was reading the product’s current rate. An issued tax invoice is a historical record of what was charged, so the tax rate is now stored on the order line at purchase, exactly as the price already was. Editing the catalogue can no longer alter a document a customer is already holding.</w:t>
      </w:r>
    </w:p>
    <w:p>
      <w:pPr>
        <w:pStyle w:val="Heading1"/>
        <w:spacing w:after="140" w:before="320"/>
      </w:pPr>
      <w:r>
        <w:t xml:space="preserve">4. Technical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shd w:fill="EFF4F3"/>
            <w:tcMar>
              <w:top w:type="dxa" w:w="80"/>
              <w:left w:type="dxa" w:w="120"/>
              <w:bottom w:type="dxa" w:w="80"/>
              <w:right w:type="dxa" w:w="120"/>
            </w:tcMar>
          </w:tcPr>
          <w:p>
            <w:r>
              <w:rPr>
                <w:b/>
                <w:bCs/>
                <w:sz w:val="20"/>
                <w:szCs w:val="20"/>
              </w:rPr>
              <w:t xml:space="preserve">Area</w:t>
            </w:r>
          </w:p>
        </w:tc>
        <w:tc>
          <w:tcPr>
            <w:shd w:fill="EFF4F3"/>
            <w:tcMar>
              <w:top w:type="dxa" w:w="80"/>
              <w:left w:type="dxa" w:w="120"/>
              <w:bottom w:type="dxa" w:w="80"/>
              <w:right w:type="dxa" w:w="120"/>
            </w:tcMar>
          </w:tcPr>
          <w:p>
            <w:r>
              <w:rPr>
                <w:b/>
                <w:bCs/>
                <w:sz w:val="20"/>
                <w:szCs w:val="20"/>
              </w:rPr>
              <w:t xml:space="preserve">Change</w:t>
            </w:r>
          </w:p>
        </w:tc>
      </w:tr>
      <w:tr>
        <w:tc>
          <w:tcPr>
            <w:tcMar>
              <w:top w:type="dxa" w:w="80"/>
              <w:left w:type="dxa" w:w="120"/>
              <w:bottom w:type="dxa" w:w="80"/>
              <w:right w:type="dxa" w:w="120"/>
            </w:tcMar>
          </w:tcPr>
          <w:p>
            <w:r>
              <w:rPr>
                <w:b w:val="false"/>
                <w:bCs w:val="false"/>
                <w:sz w:val="20"/>
                <w:szCs w:val="20"/>
              </w:rPr>
              <w:t xml:space="preserve">New module</w:t>
            </w:r>
          </w:p>
        </w:tc>
        <w:tc>
          <w:tcPr>
            <w:tcMar>
              <w:top w:type="dxa" w:w="80"/>
              <w:left w:type="dxa" w:w="120"/>
              <w:bottom w:type="dxa" w:w="80"/>
              <w:right w:type="dxa" w:w="120"/>
            </w:tcMar>
          </w:tcPr>
          <w:p>
            <w:r>
              <w:rPr>
                <w:b w:val="false"/>
                <w:bCs w:val="false"/>
                <w:sz w:val="20"/>
                <w:szCs w:val="20"/>
              </w:rPr>
              <w:t xml:space="preserve">api/billing.py — financial-year logic, invoice numbering, GST extraction and invoice assembly, kept in one place</w:t>
            </w:r>
          </w:p>
        </w:tc>
      </w:tr>
      <w:tr>
        <w:tc>
          <w:tcPr>
            <w:tcMar>
              <w:top w:type="dxa" w:w="80"/>
              <w:left w:type="dxa" w:w="120"/>
              <w:bottom w:type="dxa" w:w="80"/>
              <w:right w:type="dxa" w:w="120"/>
            </w:tcMar>
          </w:tcPr>
          <w:p>
            <w:r>
              <w:rPr>
                <w:b w:val="false"/>
                <w:bCs w:val="false"/>
                <w:sz w:val="20"/>
                <w:szCs w:val="20"/>
              </w:rPr>
              <w:t xml:space="preserve">Schema</w:t>
            </w:r>
          </w:p>
        </w:tc>
        <w:tc>
          <w:tcPr>
            <w:tcMar>
              <w:top w:type="dxa" w:w="80"/>
              <w:left w:type="dxa" w:w="120"/>
              <w:bottom w:type="dxa" w:w="80"/>
              <w:right w:type="dxa" w:w="120"/>
            </w:tcMar>
          </w:tcPr>
          <w:p>
            <w:r>
              <w:rPr>
                <w:b w:val="false"/>
                <w:bCs w:val="false"/>
                <w:sz w:val="20"/>
                <w:szCs w:val="20"/>
              </w:rPr>
              <w:t xml:space="preserve">stock_moves (append-only ledger) and invoice_seq (per-pharmacy counter) added; orders gained invoice and carrier columns; medicines and order_items gained a GST rate</w:t>
            </w:r>
          </w:p>
        </w:tc>
      </w:tr>
      <w:tr>
        <w:tc>
          <w:tcPr>
            <w:tcMar>
              <w:top w:type="dxa" w:w="80"/>
              <w:left w:type="dxa" w:w="120"/>
              <w:bottom w:type="dxa" w:w="80"/>
              <w:right w:type="dxa" w:w="120"/>
            </w:tcMar>
          </w:tcPr>
          <w:p>
            <w:r>
              <w:rPr>
                <w:b w:val="false"/>
                <w:bCs w:val="false"/>
                <w:sz w:val="20"/>
                <w:szCs w:val="20"/>
              </w:rPr>
              <w:t xml:space="preserve">Upgrades</w:t>
            </w:r>
          </w:p>
        </w:tc>
        <w:tc>
          <w:tcPr>
            <w:tcMar>
              <w:top w:type="dxa" w:w="80"/>
              <w:left w:type="dxa" w:w="120"/>
              <w:bottom w:type="dxa" w:w="80"/>
              <w:right w:type="dxa" w:w="120"/>
            </w:tcMar>
          </w:tcPr>
          <w:p>
            <w:r>
              <w:rPr>
                <w:b w:val="false"/>
                <w:bCs w:val="false"/>
                <w:sz w:val="20"/>
                <w:szCs w:val="20"/>
              </w:rPr>
              <w:t xml:space="preserve">All new columns are added additively on start-up, so an existing database gains them without losing data; orders placed before this week simply have no invoice</w:t>
            </w:r>
          </w:p>
        </w:tc>
      </w:tr>
      <w:tr>
        <w:tc>
          <w:tcPr>
            <w:tcMar>
              <w:top w:type="dxa" w:w="80"/>
              <w:left w:type="dxa" w:w="120"/>
              <w:bottom w:type="dxa" w:w="80"/>
              <w:right w:type="dxa" w:w="120"/>
            </w:tcMar>
          </w:tcPr>
          <w:p>
            <w:r>
              <w:rPr>
                <w:b w:val="false"/>
                <w:bCs w:val="false"/>
                <w:sz w:val="20"/>
                <w:szCs w:val="20"/>
              </w:rPr>
              <w:t xml:space="preserve">API</w:t>
            </w:r>
          </w:p>
        </w:tc>
        <w:tc>
          <w:tcPr>
            <w:tcMar>
              <w:top w:type="dxa" w:w="80"/>
              <w:left w:type="dxa" w:w="120"/>
              <w:bottom w:type="dxa" w:w="80"/>
              <w:right w:type="dxa" w:w="120"/>
            </w:tcMar>
          </w:tcPr>
          <w:p>
            <w:r>
              <w:rPr>
                <w:b w:val="false"/>
                <w:bCs w:val="false"/>
                <w:sz w:val="20"/>
                <w:szCs w:val="20"/>
              </w:rPr>
              <w:t xml:space="preserve">GET /api/orders/:id/invoice, POST /api/orders/:id/delivery, GET and POST /api/medicines/:id/stock</w:t>
            </w:r>
          </w:p>
        </w:tc>
      </w:tr>
      <w:tr>
        <w:tc>
          <w:tcPr>
            <w:tcMar>
              <w:top w:type="dxa" w:w="80"/>
              <w:left w:type="dxa" w:w="120"/>
              <w:bottom w:type="dxa" w:w="80"/>
              <w:right w:type="dxa" w:w="120"/>
            </w:tcMar>
          </w:tcPr>
          <w:p>
            <w:r>
              <w:rPr>
                <w:b w:val="false"/>
                <w:bCs w:val="false"/>
                <w:sz w:val="20"/>
                <w:szCs w:val="20"/>
              </w:rPr>
              <w:t xml:space="preserve">Interface</w:t>
            </w:r>
          </w:p>
        </w:tc>
        <w:tc>
          <w:tcPr>
            <w:tcMar>
              <w:top w:type="dxa" w:w="80"/>
              <w:left w:type="dxa" w:w="120"/>
              <w:bottom w:type="dxa" w:w="80"/>
              <w:right w:type="dxa" w:w="120"/>
            </w:tcMar>
          </w:tcPr>
          <w:p>
            <w:r>
              <w:rPr>
                <w:b w:val="false"/>
                <w:bCs w:val="false"/>
                <w:sz w:val="20"/>
                <w:szCs w:val="20"/>
              </w:rPr>
              <w:t xml:space="preserve">Printable invoice sheet, delivery assignment dialog, stock ledger dialog, and a GST column on the inventory table</w:t>
            </w:r>
          </w:p>
        </w:tc>
      </w:tr>
    </w:tbl>
    <w:p>
      <w:pPr>
        <w:pStyle w:val="Heading1"/>
        <w:spacing w:after="140" w:before="320"/>
      </w:pPr>
      <w:r>
        <w:t xml:space="preserve">5. Testing and verification</w:t>
      </w:r>
    </w:p>
    <w:p>
      <w:pPr>
        <w:pStyle w:val="ListParagraph"/>
        <w:numPr>
          <w:ilvl w:val="0"/>
          <w:numId w:val="1"/>
        </w:numPr>
        <w:spacing w:after="80"/>
      </w:pPr>
      <w:r>
        <w:rPr>
          <w:sz w:val="22"/>
          <w:szCs w:val="22"/>
        </w:rPr>
        <w:t xml:space="preserve">The automated suite grew from 65 to 85 assertions and passes in full on both SQLite and PostgreSQL.</w:t>
      </w:r>
    </w:p>
    <w:p>
      <w:pPr>
        <w:pStyle w:val="ListParagraph"/>
        <w:numPr>
          <w:ilvl w:val="0"/>
          <w:numId w:val="1"/>
        </w:numPr>
        <w:spacing w:after="80"/>
      </w:pPr>
      <w:r>
        <w:rPr>
          <w:sz w:val="22"/>
          <w:szCs w:val="22"/>
        </w:rPr>
        <w:t xml:space="preserve">New assertions cover invoice numbering and format, tax extracted from a GST-inclusive price, the CGST/SGST split, access control on invoices, an issued invoice staying unchanged when the product is re-slabbed, the block on shipping without a carrier, both assignment modes, and the stock ledger including its refusal to write off more units than are on the shelf.</w:t>
      </w:r>
    </w:p>
    <w:p>
      <w:pPr>
        <w:pStyle w:val="ListParagraph"/>
        <w:numPr>
          <w:ilvl w:val="0"/>
          <w:numId w:val="1"/>
        </w:numPr>
        <w:spacing w:after="80"/>
      </w:pPr>
      <w:r>
        <w:rPr>
          <w:sz w:val="22"/>
          <w:szCs w:val="22"/>
        </w:rPr>
        <w:t xml:space="preserve">Concurrency was tested directly: 12 parallel checkouts across 4 worker processes on PostgreSQL produced a unique, gap-free invoice series.</w:t>
      </w:r>
    </w:p>
    <w:p>
      <w:pPr>
        <w:pStyle w:val="ListParagraph"/>
        <w:numPr>
          <w:ilvl w:val="0"/>
          <w:numId w:val="1"/>
        </w:numPr>
        <w:spacing w:after="80"/>
      </w:pPr>
      <w:r>
        <w:rPr>
          <w:sz w:val="22"/>
          <w:szCs w:val="22"/>
        </w:rPr>
        <w:t xml:space="preserve">The upgrade path was tested against a copy of the existing database — new columns are added, existing records are preserved, and orders predating this week report that no invoice was raised rather than failing.</w:t>
      </w:r>
    </w:p>
    <w:p>
      <w:pPr>
        <w:pStyle w:val="ListParagraph"/>
        <w:numPr>
          <w:ilvl w:val="0"/>
          <w:numId w:val="1"/>
        </w:numPr>
        <w:spacing w:after="80"/>
      </w:pPr>
      <w:r>
        <w:rPr>
          <w:sz w:val="22"/>
          <w:szCs w:val="22"/>
        </w:rPr>
        <w:t xml:space="preserve">The full flow was walked through in the browser for both roles: order and invoice as the patient, assignment, dispatch and stock movements as the pharmacy.</w:t>
      </w:r>
    </w:p>
    <w:p>
      <w:pPr>
        <w:pStyle w:val="Heading1"/>
        <w:spacing w:after="140" w:before="320"/>
      </w:pPr>
      <w:r>
        <w:t xml:space="preserve">6. Plan for the coming week</w:t>
      </w:r>
    </w:p>
    <w:p>
      <w:pPr>
        <w:spacing w:after="120"/>
      </w:pPr>
      <w:r>
        <w:rPr>
          <w:sz w:val="22"/>
          <w:szCs w:val="22"/>
        </w:rPr>
        <w:t xml:space="preserve">Phase 9 (7–13 September) takes the remaining workflow items — role and permission management for the admin panel, consent-gated access for doctors to a patient’s history, and pharmacy selection by location or price — followed by a final hardening pass ahead of handover in the closing week.</w:t>
      </w:r>
    </w:p>
    <w:p>
      <w:pPr>
        <w:spacing w:after="120"/>
      </w:pPr>
      <w:r>
        <w:rPr>
          <w:sz w:val="22"/>
          <w:szCs w:val="22"/>
        </w:rPr>
        <w:t xml:space="preserve">Two decisions are still needed from the business rather than from engineering: which payment provider to license, and which SMS/email gateway to use. Both are configuration switches; the code paths for each are already in place and tested against mock providers.</w:t>
      </w:r>
    </w:p>
    <w:p>
      <w:r>
        <w:br w:type="page"/>
      </w:r>
    </w:p>
    <w:p>
      <w:pPr>
        <w:pStyle w:val="Heading1"/>
        <w:spacing w:after="140" w:before="320"/>
      </w:pPr>
      <w:r>
        <w:t xml:space="preserve">Appendix A — The features in use</w:t>
      </w:r>
    </w:p>
    <w:p>
      <w:pPr>
        <w:spacing w:after="60" w:before="200"/>
        <w:jc w:val="center"/>
      </w:pPr>
      <w:r>
        <w:drawing>
          <wp:inline distT="0" distB="0" distL="0" distR="0">
            <wp:extent cx="59055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971925"/>
                    </a:xfrm>
                    <a:prstGeom prst="rect">
                      <a:avLst/>
                    </a:prstGeom>
                  </pic:spPr>
                </pic:pic>
              </a:graphicData>
            </a:graphic>
          </wp:inline>
        </w:drawing>
      </w:r>
    </w:p>
    <w:p>
      <w:pPr>
        <w:spacing w:after="240"/>
        <w:jc w:val="center"/>
      </w:pPr>
      <w:r>
        <w:rPr>
          <w:i/>
          <w:iCs/>
          <w:color w:val="555555"/>
          <w:sz w:val="18"/>
          <w:szCs w:val="18"/>
        </w:rPr>
        <w:t xml:space="preserve">Figure A1 — Patient’s orders, each carrying its tax invoice number</w:t>
      </w:r>
    </w:p>
    <w:p>
      <w:pPr>
        <w:spacing w:after="60" w:before="200"/>
        <w:jc w:val="center"/>
      </w:pPr>
      <w:r>
        <w:drawing>
          <wp:inline distT="0" distB="0" distL="0" distR="0">
            <wp:extent cx="5905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448050"/>
                    </a:xfrm>
                    <a:prstGeom prst="rect">
                      <a:avLst/>
                    </a:prstGeom>
                  </pic:spPr>
                </pic:pic>
              </a:graphicData>
            </a:graphic>
          </wp:inline>
        </w:drawing>
      </w:r>
    </w:p>
    <w:p>
      <w:pPr>
        <w:spacing w:after="240"/>
        <w:jc w:val="center"/>
      </w:pPr>
      <w:r>
        <w:rPr>
          <w:i/>
          <w:iCs/>
          <w:color w:val="555555"/>
          <w:sz w:val="18"/>
          <w:szCs w:val="18"/>
        </w:rPr>
        <w:t xml:space="preserve">Figure A2 — The tax invoice: rate-wise taxable value, CGST and SGST extracted from a GST-inclusive MRP</w:t>
      </w:r>
    </w:p>
    <w:p>
      <w:pPr>
        <w:spacing w:after="60" w:before="200"/>
        <w:jc w:val="center"/>
      </w:pPr>
      <w:r>
        <w:drawing>
          <wp:inline distT="0" distB="0" distL="0" distR="0">
            <wp:extent cx="59055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971925"/>
                    </a:xfrm>
                    <a:prstGeom prst="rect">
                      <a:avLst/>
                    </a:prstGeom>
                  </pic:spPr>
                </pic:pic>
              </a:graphicData>
            </a:graphic>
          </wp:inline>
        </w:drawing>
      </w:r>
    </w:p>
    <w:p>
      <w:pPr>
        <w:spacing w:after="240"/>
        <w:jc w:val="center"/>
      </w:pPr>
      <w:r>
        <w:rPr>
          <w:i/>
          <w:iCs/>
          <w:color w:val="555555"/>
          <w:sz w:val="18"/>
          <w:szCs w:val="18"/>
        </w:rPr>
        <w:t xml:space="preserve">Figure A3 — Pharmacy order queue, showing the assigned carrier and tracking reference</w:t>
      </w:r>
    </w:p>
    <w:p>
      <w:pPr>
        <w:spacing w:after="60" w:before="200"/>
        <w:jc w:val="center"/>
      </w:pPr>
      <w:r>
        <w:drawing>
          <wp:inline distT="0" distB="0" distL="0" distR="0">
            <wp:extent cx="4191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3333750"/>
                    </a:xfrm>
                    <a:prstGeom prst="rect">
                      <a:avLst/>
                    </a:prstGeom>
                  </pic:spPr>
                </pic:pic>
              </a:graphicData>
            </a:graphic>
          </wp:inline>
        </w:drawing>
      </w:r>
    </w:p>
    <w:p>
      <w:pPr>
        <w:spacing w:after="240"/>
        <w:jc w:val="center"/>
      </w:pPr>
      <w:r>
        <w:rPr>
          <w:i/>
          <w:iCs/>
          <w:color w:val="555555"/>
          <w:sz w:val="18"/>
          <w:szCs w:val="18"/>
        </w:rPr>
        <w:t xml:space="preserve">Figure A4 — Assigning an order to an own rider or a partner courier</w:t>
      </w:r>
    </w:p>
    <w:p>
      <w:pPr>
        <w:spacing w:after="60" w:before="200"/>
        <w:jc w:val="center"/>
      </w:pPr>
      <w:r>
        <w:drawing>
          <wp:inline distT="0" distB="0" distL="0" distR="0">
            <wp:extent cx="59055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971925"/>
                    </a:xfrm>
                    <a:prstGeom prst="rect">
                      <a:avLst/>
                    </a:prstGeom>
                  </pic:spPr>
                </pic:pic>
              </a:graphicData>
            </a:graphic>
          </wp:inline>
        </w:drawing>
      </w:r>
    </w:p>
    <w:p>
      <w:pPr>
        <w:spacing w:after="240"/>
        <w:jc w:val="center"/>
      </w:pPr>
      <w:r>
        <w:rPr>
          <w:i/>
          <w:iCs/>
          <w:color w:val="555555"/>
          <w:sz w:val="18"/>
          <w:szCs w:val="18"/>
        </w:rPr>
        <w:t xml:space="preserve">Figure A5 — Inventory with GST slab per medicine and a stock ledger on every row</w:t>
      </w:r>
    </w:p>
    <w:p>
      <w:pPr>
        <w:spacing w:after="60" w:before="200"/>
        <w:jc w:val="center"/>
      </w:pPr>
      <w:r>
        <w:drawing>
          <wp:inline distT="0" distB="0" distL="0" distR="0">
            <wp:extent cx="59055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771900"/>
                    </a:xfrm>
                    <a:prstGeom prst="rect">
                      <a:avLst/>
                    </a:prstGeom>
                  </pic:spPr>
                </pic:pic>
              </a:graphicData>
            </a:graphic>
          </wp:inline>
        </w:drawing>
      </w:r>
    </w:p>
    <w:p>
      <w:pPr>
        <w:spacing w:after="240"/>
        <w:jc w:val="center"/>
      </w:pPr>
      <w:r>
        <w:rPr>
          <w:i/>
          <w:iCs/>
          <w:color w:val="555555"/>
          <w:sz w:val="18"/>
          <w:szCs w:val="18"/>
        </w:rPr>
        <w:t xml:space="preserve">Figure A6 — Stock movement history: every change with its reason, balance and author</w:t>
      </w:r>
    </w:p>
    <w:p>
      <w:r>
        <w:br w:type="page"/>
      </w:r>
    </w:p>
    <w:p>
      <w:pPr>
        <w:pStyle w:val="Heading1"/>
        <w:spacing w:after="140" w:before="320"/>
      </w:pPr>
      <w:r>
        <w:t xml:space="preserve">Appendix B — The code behind it</w:t>
      </w:r>
    </w:p>
    <w:p>
      <w:pPr>
        <w:spacing w:after="60" w:before="200"/>
        <w:jc w:val="center"/>
      </w:pPr>
      <w:r>
        <w:drawing>
          <wp:inline distT="0" distB="0" distL="0" distR="0">
            <wp:extent cx="59055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609850"/>
                    </a:xfrm>
                    <a:prstGeom prst="rect">
                      <a:avLst/>
                    </a:prstGeom>
                  </pic:spPr>
                </pic:pic>
              </a:graphicData>
            </a:graphic>
          </wp:inline>
        </w:drawing>
      </w:r>
    </w:p>
    <w:p>
      <w:pPr>
        <w:spacing w:after="240"/>
        <w:jc w:val="center"/>
      </w:pPr>
      <w:r>
        <w:rPr>
          <w:i/>
          <w:iCs/>
          <w:color w:val="555555"/>
          <w:sz w:val="18"/>
          <w:szCs w:val="18"/>
        </w:rPr>
        <w:t xml:space="preserve">Figure B1 — Financial-year logic and the locked per-pharmacy invoice counter</w:t>
      </w:r>
    </w:p>
    <w:p>
      <w:pPr>
        <w:spacing w:after="60" w:before="200"/>
        <w:jc w:val="center"/>
      </w:pPr>
      <w:r>
        <w:drawing>
          <wp:inline distT="0" distB="0" distL="0" distR="0">
            <wp:extent cx="5905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1533525"/>
                    </a:xfrm>
                    <a:prstGeom prst="rect">
                      <a:avLst/>
                    </a:prstGeom>
                  </pic:spPr>
                </pic:pic>
              </a:graphicData>
            </a:graphic>
          </wp:inline>
        </w:drawing>
      </w:r>
    </w:p>
    <w:p>
      <w:pPr>
        <w:spacing w:after="240"/>
        <w:jc w:val="center"/>
      </w:pPr>
      <w:r>
        <w:rPr>
          <w:i/>
          <w:iCs/>
          <w:color w:val="555555"/>
          <w:sz w:val="18"/>
          <w:szCs w:val="18"/>
        </w:rPr>
        <w:t xml:space="preserve">Figure B2 — Extracting CGST and SGST from a GST-inclusive amount</w:t>
      </w:r>
    </w:p>
    <w:p>
      <w:pPr>
        <w:spacing w:after="60" w:before="200"/>
        <w:jc w:val="center"/>
      </w:pPr>
      <w:r>
        <w:drawing>
          <wp:inline distT="0" distB="0" distL="0" distR="0">
            <wp:extent cx="59055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019550"/>
                    </a:xfrm>
                    <a:prstGeom prst="rect">
                      <a:avLst/>
                    </a:prstGeom>
                  </pic:spPr>
                </pic:pic>
              </a:graphicData>
            </a:graphic>
          </wp:inline>
        </w:drawing>
      </w:r>
    </w:p>
    <w:p>
      <w:pPr>
        <w:spacing w:after="240"/>
        <w:jc w:val="center"/>
      </w:pPr>
      <w:r>
        <w:rPr>
          <w:i/>
          <w:iCs/>
          <w:color w:val="555555"/>
          <w:sz w:val="18"/>
          <w:szCs w:val="18"/>
        </w:rPr>
        <w:t xml:space="preserve">Figure B3 — Nothing ships without a carrier; assigning a rider or courier</w:t>
      </w:r>
    </w:p>
    <w:p>
      <w:pPr>
        <w:spacing w:after="60" w:before="200"/>
        <w:jc w:val="center"/>
      </w:pPr>
      <w:r>
        <w:drawing>
          <wp:inline distT="0" distB="0" distL="0" distR="0">
            <wp:extent cx="59055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581400"/>
                    </a:xfrm>
                    <a:prstGeom prst="rect">
                      <a:avLst/>
                    </a:prstGeom>
                  </pic:spPr>
                </pic:pic>
              </a:graphicData>
            </a:graphic>
          </wp:inline>
        </w:drawing>
      </w:r>
    </w:p>
    <w:p>
      <w:pPr>
        <w:spacing w:after="240"/>
        <w:jc w:val="center"/>
      </w:pPr>
      <w:r>
        <w:rPr>
          <w:i/>
          <w:iCs/>
          <w:color w:val="555555"/>
          <w:sz w:val="18"/>
          <w:szCs w:val="18"/>
        </w:rPr>
        <w:t xml:space="preserve">Figure B4 — Booking a stock movement: level and ledger move together or not at all</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F766E"/>
      <w:sz w:val="30"/>
      <w:szCs w:val="30"/>
    </w:rPr>
  </w:style>
  <w:style w:type="paragraph" w:styleId="Heading2">
    <w:name w:val="Heading 2"/>
    <w:basedOn w:val="Normal"/>
    <w:next w:val="Normal"/>
    <w:qFormat/>
    <w:rPr>
      <w:rFonts w:ascii="Calibri" w:cs="Calibri" w:eastAsia="Calibri" w:hAnsi="Calibri"/>
      <w:b/>
      <w:bCs/>
      <w:color w:val="134E4A"/>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093168f014722ad37e0e7eb0c9e67cd061acfff.png"/><Relationship Id="rId8" Type="http://schemas.openxmlformats.org/officeDocument/2006/relationships/image" Target="media/b98ab041435b1bfd4e9dd91f869cbea34f6a2b16.png"/><Relationship Id="rId9" Type="http://schemas.openxmlformats.org/officeDocument/2006/relationships/image" Target="media/9b54a89a8fc401e984fdae54ef6d7df491d67131.png"/><Relationship Id="rId10" Type="http://schemas.openxmlformats.org/officeDocument/2006/relationships/image" Target="media/cc34780904310ba3b59d44edbbae997fff0291d6.png"/><Relationship Id="rId11" Type="http://schemas.openxmlformats.org/officeDocument/2006/relationships/image" Target="media/589b7592d9a90a5f82244f06864550ba939a7e9f.png"/><Relationship Id="rId12" Type="http://schemas.openxmlformats.org/officeDocument/2006/relationships/image" Target="media/60db2b539b4a29d970049303649a571cae46d4b2.png"/><Relationship Id="rId13" Type="http://schemas.openxmlformats.org/officeDocument/2006/relationships/image" Target="media/d9143b47aa1d68d21ce6325370c2e8bd02038b3b.png"/><Relationship Id="rId14" Type="http://schemas.openxmlformats.org/officeDocument/2006/relationships/image" Target="media/e995d8d13d959af326ac632aac34e6e001075c49.png"/><Relationship Id="rId15" Type="http://schemas.openxmlformats.org/officeDocument/2006/relationships/image" Target="media/d1a65dc5dc8710c19ccdfc65a1b927ae07dd328a.png"/><Relationship Id="rId16" Type="http://schemas.openxmlformats.org/officeDocument/2006/relationships/image" Target="media/f5b45d0fd5a7a8508467d22cb3860d1c8d43cd25.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Weekly Status Report — Phase 8</dc:title>
  <dc:creator>Jainish Nikul Shah</dc:creator>
  <dc:description>E-Pharma Management System — fulfilment &amp; billing</dc:description>
  <cp:lastModifiedBy>Jainish Nikul Shah</cp:lastModifiedBy>
  <cp:revision>1</cp:revision>
  <dcterms:created xsi:type="dcterms:W3CDTF">2026-09-03T20:56:56.290Z</dcterms:created>
  <dcterms:modified xsi:type="dcterms:W3CDTF">2026-09-03T20:56:56.291Z</dcterms:modified>
</cp:coreProperties>
</file>

<file path=docProps/custom.xml><?xml version="1.0" encoding="utf-8"?>
<Properties xmlns="http://schemas.openxmlformats.org/officeDocument/2006/custom-properties" xmlns:vt="http://schemas.openxmlformats.org/officeDocument/2006/docPropsVTypes"/>
</file>