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40"/>
        <w:jc w:val="center"/>
      </w:pPr>
      <w:r>
        <w:rPr>
          <w:rFonts w:ascii="Times New Roman" w:cs="Times New Roman" w:eastAsia="Times New Roman" w:hAnsi="Times New Roman"/>
          <w:b/>
          <w:bCs/>
          <w:sz w:val="20"/>
          <w:szCs w:val="20"/>
        </w:rPr>
        <w:t xml:space="preserve">Diversidad cultural y migración interna en el Perú: del campo a la ciudad tras la reforma agraria</w:t>
      </w:r>
    </w:p>
    <w:p>
      <w:pPr>
        <w:spacing w:after="200" w:before="0" w:line="240"/>
        <w:jc w:val="center"/>
      </w:pPr>
      <w:r>
        <w:rPr>
          <w:rFonts w:ascii="Times New Roman" w:cs="Times New Roman" w:eastAsia="Times New Roman" w:hAnsi="Times New Roman"/>
          <w:sz w:val="20"/>
          <w:szCs w:val="20"/>
        </w:rPr>
        <w:t xml:space="preserve">Estudiante: ______________________   Curso: ______________________   Fecha: ____________</w:t>
      </w:r>
    </w:p>
    <w:p>
      <w:pPr>
        <w:keepNext/>
        <w:spacing w:after="60" w:before="80" w:line="240"/>
      </w:pPr>
      <w:r>
        <w:rPr>
          <w:rFonts w:ascii="Times New Roman" w:cs="Times New Roman" w:eastAsia="Times New Roman" w:hAnsi="Times New Roman"/>
          <w:b/>
          <w:bCs/>
          <w:sz w:val="20"/>
          <w:szCs w:val="20"/>
        </w:rPr>
        <w:t xml:space="preserve">1. Introducción</w:t>
      </w:r>
    </w:p>
    <w:p>
      <w:pPr>
        <w:spacing w:after="120" w:before="0" w:line="240"/>
        <w:jc w:val="both"/>
      </w:pPr>
      <w:r>
        <w:rPr>
          <w:rFonts w:ascii="Times New Roman" w:cs="Times New Roman" w:eastAsia="Times New Roman" w:hAnsi="Times New Roman"/>
          <w:sz w:val="20"/>
          <w:szCs w:val="20"/>
        </w:rPr>
        <w:t xml:space="preserve">El documental </w:t>
      </w:r>
      <w:r>
        <w:rPr>
          <w:rFonts w:ascii="Times New Roman" w:cs="Times New Roman" w:eastAsia="Times New Roman" w:hAnsi="Times New Roman"/>
          <w:i/>
          <w:iCs/>
          <w:sz w:val="20"/>
          <w:szCs w:val="20"/>
        </w:rPr>
        <w:t xml:space="preserve">La revolución y la tierra</w:t>
      </w:r>
      <w:r>
        <w:rPr>
          <w:rFonts w:ascii="Times New Roman" w:cs="Times New Roman" w:eastAsia="Times New Roman" w:hAnsi="Times New Roman"/>
          <w:sz w:val="20"/>
          <w:szCs w:val="20"/>
        </w:rPr>
        <w:t xml:space="preserve"> muestra cómo el orden colonial y la hacienda sostuvieron durante siglos la exclusión de la población indígena, y cómo las rebeliones campesinas de los años sesenta y la reforma agraria intentaron desmontarla. Este trabajo parte de esa mirada para examinar un proceso posterior y menos visible: la migración del campo a la ciudad, sus efectos en la identidad cultural de los migrantes andinos (idioma, costumbres) y la discriminación que enfrentaron en Lima, que en buena medida persiste hoy. Al final se presentan una reflexión personal y propuestas para construir espacios interculturales en la educación superior y el trabajo.</w:t>
      </w:r>
    </w:p>
    <w:p>
      <w:pPr>
        <w:keepNext/>
        <w:spacing w:after="60" w:before="80" w:line="240"/>
      </w:pPr>
      <w:r>
        <w:rPr>
          <w:rFonts w:ascii="Times New Roman" w:cs="Times New Roman" w:eastAsia="Times New Roman" w:hAnsi="Times New Roman"/>
          <w:b/>
          <w:bCs/>
          <w:sz w:val="20"/>
          <w:szCs w:val="20"/>
        </w:rPr>
        <w:t xml:space="preserve">2. Definiciones clave</w:t>
      </w:r>
    </w:p>
    <w:p>
      <w:pPr>
        <w:spacing w:after="120" w:before="0" w:line="240"/>
        <w:jc w:val="both"/>
      </w:pPr>
      <w:r>
        <w:rPr>
          <w:rFonts w:ascii="Times New Roman" w:cs="Times New Roman" w:eastAsia="Times New Roman" w:hAnsi="Times New Roman"/>
          <w:b/>
          <w:bCs/>
          <w:sz w:val="20"/>
          <w:szCs w:val="20"/>
        </w:rPr>
        <w:t xml:space="preserve">Diversidad:</w:t>
      </w:r>
      <w:r>
        <w:rPr>
          <w:rFonts w:ascii="Times New Roman" w:cs="Times New Roman" w:eastAsia="Times New Roman" w:hAnsi="Times New Roman"/>
          <w:sz w:val="20"/>
          <w:szCs w:val="20"/>
        </w:rPr>
        <w:t xml:space="preserve"> coexistencia de pueblos, lenguas, saberes y formas de vida distintas dentro de una misma sociedad (UNESCO, 2001). </w:t>
      </w:r>
      <w:r>
        <w:rPr>
          <w:rFonts w:ascii="Times New Roman" w:cs="Times New Roman" w:eastAsia="Times New Roman" w:hAnsi="Times New Roman"/>
          <w:b/>
          <w:bCs/>
          <w:sz w:val="20"/>
          <w:szCs w:val="20"/>
        </w:rPr>
        <w:t xml:space="preserve">Identidad cultural:</w:t>
      </w:r>
      <w:r>
        <w:rPr>
          <w:rFonts w:ascii="Times New Roman" w:cs="Times New Roman" w:eastAsia="Times New Roman" w:hAnsi="Times New Roman"/>
          <w:sz w:val="20"/>
          <w:szCs w:val="20"/>
        </w:rPr>
        <w:t xml:space="preserve"> sentido de pertenencia a un grupo, construido con idioma, costumbres, memoria y valores, que se transforma en contacto con otros. </w:t>
      </w:r>
      <w:r>
        <w:rPr>
          <w:rFonts w:ascii="Times New Roman" w:cs="Times New Roman" w:eastAsia="Times New Roman" w:hAnsi="Times New Roman"/>
          <w:b/>
          <w:bCs/>
          <w:sz w:val="20"/>
          <w:szCs w:val="20"/>
        </w:rPr>
        <w:t xml:space="preserve">Inclusión:</w:t>
      </w:r>
      <w:r>
        <w:rPr>
          <w:rFonts w:ascii="Times New Roman" w:cs="Times New Roman" w:eastAsia="Times New Roman" w:hAnsi="Times New Roman"/>
          <w:sz w:val="20"/>
          <w:szCs w:val="20"/>
        </w:rPr>
        <w:t xml:space="preserve"> garantizar que todas las personas participen plenamente en la vida social sin tener que renunciar a lo que son para ser aceptadas. </w:t>
      </w:r>
      <w:r>
        <w:rPr>
          <w:rFonts w:ascii="Times New Roman" w:cs="Times New Roman" w:eastAsia="Times New Roman" w:hAnsi="Times New Roman"/>
          <w:b/>
          <w:bCs/>
          <w:sz w:val="20"/>
          <w:szCs w:val="20"/>
        </w:rPr>
        <w:t xml:space="preserve">Equidad:</w:t>
      </w:r>
      <w:r>
        <w:rPr>
          <w:rFonts w:ascii="Times New Roman" w:cs="Times New Roman" w:eastAsia="Times New Roman" w:hAnsi="Times New Roman"/>
          <w:sz w:val="20"/>
          <w:szCs w:val="20"/>
        </w:rPr>
        <w:t xml:space="preserve"> dar a cada persona lo que necesita para acceder a las mismas oportunidades, reconociendo que el punto de partida no es igual para todos.</w:t>
      </w:r>
    </w:p>
    <w:p>
      <w:pPr>
        <w:keepNext/>
        <w:spacing w:after="60" w:before="80" w:line="240"/>
      </w:pPr>
      <w:r>
        <w:rPr>
          <w:rFonts w:ascii="Times New Roman" w:cs="Times New Roman" w:eastAsia="Times New Roman" w:hAnsi="Times New Roman"/>
          <w:b/>
          <w:bCs/>
          <w:sz w:val="20"/>
          <w:szCs w:val="20"/>
        </w:rPr>
        <w:t xml:space="preserve">3. Análisis del caso</w:t>
      </w:r>
    </w:p>
    <w:p>
      <w:pPr>
        <w:spacing w:after="120" w:before="0" w:line="240"/>
        <w:jc w:val="both"/>
      </w:pPr>
      <w:r>
        <w:rPr>
          <w:rFonts w:ascii="Times New Roman" w:cs="Times New Roman" w:eastAsia="Times New Roman" w:hAnsi="Times New Roman"/>
          <w:b/>
          <w:bCs/>
          <w:sz w:val="20"/>
          <w:szCs w:val="20"/>
        </w:rPr>
        <w:t xml:space="preserve">Contexto histórico.</w:t>
      </w:r>
      <w:r>
        <w:rPr>
          <w:rFonts w:ascii="Times New Roman" w:cs="Times New Roman" w:eastAsia="Times New Roman" w:hAnsi="Times New Roman"/>
          <w:sz w:val="20"/>
          <w:szCs w:val="20"/>
        </w:rPr>
        <w:t xml:space="preserve"> El documental evidencia que la desigualdad tiene raíces coloniales: el virrey Toledo dividió el país en una “República de Españoles” y una “República de Indios”, y la república nació sobre una minoría criolla que mantuvo excluidos a los campesinos, entre otros medios, con el veto a los analfabetos. En la hacienda, el peón trabajaba gratis buena parte del mes, “cuando ya nacías, ya pertenecías a la hacienda” y el patrón decidía “si se educaban o no”. Un testimonio clave señala que la oligarquía pensaba el “problema del indio” como su desaparición: biológica, por el mestizaje, o cultural, mediante un “etnocidio blanco”. Ese discurso, añade el documental, fue “interiorizado por la propia población indígena”. Incluso se observa que la entrevista no se hace en quechua, “sino en el idioma de los invasores”.</w:t>
      </w:r>
    </w:p>
    <w:p>
      <w:pPr>
        <w:spacing w:after="120" w:before="0" w:line="240"/>
        <w:jc w:val="both"/>
      </w:pPr>
      <w:r>
        <w:rPr>
          <w:rFonts w:ascii="Times New Roman" w:cs="Times New Roman" w:eastAsia="Times New Roman" w:hAnsi="Times New Roman"/>
          <w:sz w:val="20"/>
          <w:szCs w:val="20"/>
        </w:rPr>
        <w:t xml:space="preserve">La reforma agraria de 1969 (Decreto Ley 17716) puso fin formal al régimen de hacienda, pero llegó tras décadas de presión campesina, en un país con servicios concentrados en la costa. Antes y sobre todo después de ella se aceleró la migración hacia Lima, impulsada por la falta de tierras, la búsqueda de educación y, en los años ochenta, la violencia política. Matos Mar (1984) llamó “desborde popular” a este proceso: los migrantes levantaron barriadas, comercio y organizaciones propias, y transformaron la ciudad criolla. Esa transformación no fue bien recibida. Muchos migrantes ocultaron el quechua o el aimara, asociados con atraso, para evitar burlas, y sus hijos crecieron hablando solo castellano. Términos como “cholo” o “serrano” funcionaron como marcas de inferioridad (Nugent, 1992; Portocarrero, 2007). Es el mismo estereotipo de la hacienda trasladado a la ciudad. Quijano (2000) lo explica como colonialidad del poder: la idea de “raza” siguió ordenando quién vale más aunque la hacienda desapareciera. De la Cadena (2000) añade que la respetabilidad se construyó alejándose de lo indígena.</w:t>
      </w:r>
    </w:p>
    <w:p>
      <w:pPr>
        <w:spacing w:after="120" w:before="0" w:line="240"/>
        <w:jc w:val="both"/>
      </w:pPr>
      <w:r>
        <w:rPr>
          <w:rFonts w:ascii="Times New Roman" w:cs="Times New Roman" w:eastAsia="Times New Roman" w:hAnsi="Times New Roman"/>
          <w:b/>
          <w:bCs/>
          <w:sz w:val="20"/>
          <w:szCs w:val="20"/>
        </w:rPr>
        <w:t xml:space="preserve">Situación actual.</w:t>
      </w:r>
      <w:r>
        <w:rPr>
          <w:rFonts w:ascii="Times New Roman" w:cs="Times New Roman" w:eastAsia="Times New Roman" w:hAnsi="Times New Roman"/>
          <w:sz w:val="20"/>
          <w:szCs w:val="20"/>
        </w:rPr>
        <w:t xml:space="preserve"> El Estado reconoce 48 lenguas originarias y las protege legalmente (Ley 29735, 2011), pero persisten prácticas de exclusión: burlas al acento, avisos laborales que exigen “buena presencia”, desconfianza hacia quien viene de provincia y brechas educativas entre zonas rurales y urbanas. La discriminación ya no se ejerce con látigo ni con hierro candente, como narra el documental, sino con gestos cotidianos e instituciones que dan por “normal” un solo modo de hablar y de ser.</w:t>
      </w:r>
    </w:p>
    <w:p>
      <w:pPr>
        <w:keepNext/>
        <w:spacing w:after="60" w:before="80" w:line="240"/>
      </w:pPr>
      <w:r>
        <w:rPr>
          <w:rFonts w:ascii="Times New Roman" w:cs="Times New Roman" w:eastAsia="Times New Roman" w:hAnsi="Times New Roman"/>
          <w:b/>
          <w:bCs/>
          <w:sz w:val="20"/>
          <w:szCs w:val="20"/>
        </w:rPr>
        <w:t xml:space="preserve">4. Reflexión personal</w:t>
      </w:r>
    </w:p>
    <w:p>
      <w:pPr>
        <w:spacing w:after="120" w:before="0" w:line="240"/>
        <w:jc w:val="both"/>
      </w:pPr>
      <w:r>
        <w:rPr>
          <w:rFonts w:ascii="Times New Roman" w:cs="Times New Roman" w:eastAsia="Times New Roman" w:hAnsi="Times New Roman"/>
          <w:sz w:val="20"/>
          <w:szCs w:val="20"/>
        </w:rPr>
        <w:t xml:space="preserve">Creo que hoy convivimos con una contradicción: celebramos la cultura andina como marca de país (gastronomía, danzas, textiles, Machu Picchu), pero desvalorizamos a las personas que la portan. Aplaudimos el folclore en un festival y, a la vez, corregimos el acento de un compañero o dudamos de la capacidad de quien llega de provincia. Negamos la riqueza migrante cuando la tratamos como un déficit que hay que corregir, y la valoramos solo cuando resulta vistosa o rentable. El documental me hizo ver que el mecanismo es el mismo: la jerarquía que antes decía “el indio es inferior” ahora dice “hay que hablar bien y verse bien”. También me dejó una lección sobre la buena voluntad: un exguerrillero admite que fracasaron porque “no conocíamos el país” y los campesinos no los veían como iguales. La inclusión no se decreta desde arriba; requiere escuchar a quienes la viven.</w:t>
      </w:r>
    </w:p>
    <w:p>
      <w:pPr>
        <w:keepNext/>
        <w:spacing w:after="60" w:before="80" w:line="240"/>
      </w:pPr>
      <w:r>
        <w:rPr>
          <w:rFonts w:ascii="Times New Roman" w:cs="Times New Roman" w:eastAsia="Times New Roman" w:hAnsi="Times New Roman"/>
          <w:b/>
          <w:bCs/>
          <w:sz w:val="20"/>
          <w:szCs w:val="20"/>
        </w:rPr>
        <w:t xml:space="preserve">5. Propuesta de acciones concretas</w:t>
      </w:r>
    </w:p>
    <w:p>
      <w:pPr>
        <w:spacing w:after="120" w:before="0" w:line="240"/>
        <w:jc w:val="both"/>
      </w:pPr>
      <w:r>
        <w:rPr>
          <w:rFonts w:ascii="Times New Roman" w:cs="Times New Roman" w:eastAsia="Times New Roman" w:hAnsi="Times New Roman"/>
          <w:b/>
          <w:bCs/>
          <w:sz w:val="20"/>
          <w:szCs w:val="20"/>
        </w:rPr>
        <w:t xml:space="preserve">Educación superior.</w:t>
      </w:r>
      <w:r>
        <w:rPr>
          <w:rFonts w:ascii="Times New Roman" w:cs="Times New Roman" w:eastAsia="Times New Roman" w:hAnsi="Times New Roman"/>
          <w:sz w:val="20"/>
          <w:szCs w:val="20"/>
        </w:rPr>
        <w:t xml:space="preserve"> (a) Ofrecer quechua, aimara y otras lenguas originarias como cursos electivos con créditos y producir materiales bilingües. (b) Crear tutorías entre pares para ingresantes de provincia, con apoyo académico, psicológico y de vivienda, complementando becas como Beca 18. (c) Incorporar saberes andinos y autores regionales en las mallas curriculares. (d) Implementar protocolos de denuncia y sanción de la discriminación étnico-racial.</w:t>
      </w:r>
    </w:p>
    <w:p>
      <w:pPr>
        <w:spacing w:after="120" w:before="0" w:line="240"/>
        <w:jc w:val="both"/>
      </w:pPr>
      <w:r>
        <w:rPr>
          <w:rFonts w:ascii="Times New Roman" w:cs="Times New Roman" w:eastAsia="Times New Roman" w:hAnsi="Times New Roman"/>
          <w:b/>
          <w:bCs/>
          <w:sz w:val="20"/>
          <w:szCs w:val="20"/>
        </w:rPr>
        <w:t xml:space="preserve">Ámbito laboral.</w:t>
      </w:r>
      <w:r>
        <w:rPr>
          <w:rFonts w:ascii="Times New Roman" w:cs="Times New Roman" w:eastAsia="Times New Roman" w:hAnsi="Times New Roman"/>
          <w:sz w:val="20"/>
          <w:szCs w:val="20"/>
        </w:rPr>
        <w:t xml:space="preserve"> (a) Aplicar selección de personal a ciegas (sin foto, apellido ni lugar de origen) y eliminar la exigencia de “buena presencia”. (b) Capacitar a jefaturas en sesgos y liderazgo intercultural. (c) Valorar el dominio de lenguas originarias como competencia, sobre todo en la atención al público. (d) Habilitar canales de denuncia confidenciales.</w:t>
      </w:r>
    </w:p>
    <w:p>
      <w:pPr>
        <w:spacing w:after="120" w:before="0" w:line="240"/>
        <w:jc w:val="both"/>
      </w:pPr>
      <w:r>
        <w:rPr>
          <w:rFonts w:ascii="Times New Roman" w:cs="Times New Roman" w:eastAsia="Times New Roman" w:hAnsi="Times New Roman"/>
          <w:b/>
          <w:bCs/>
          <w:sz w:val="20"/>
          <w:szCs w:val="20"/>
        </w:rPr>
        <w:t xml:space="preserve">Política y medios.</w:t>
      </w:r>
      <w:r>
        <w:rPr>
          <w:rFonts w:ascii="Times New Roman" w:cs="Times New Roman" w:eastAsia="Times New Roman" w:hAnsi="Times New Roman"/>
          <w:sz w:val="20"/>
          <w:szCs w:val="20"/>
        </w:rPr>
        <w:t xml:space="preserve"> Cumplir la Ley 29735, recopilar datos desagregados por lengua materna y promover contenidos que muestren a los migrantes y sus descendientes como profesionales, líderes y creadores, no solo como personajes cómicos o estereotipados.</w:t>
      </w:r>
    </w:p>
    <w:p>
      <w:pPr>
        <w:keepNext/>
        <w:spacing w:after="60" w:before="80" w:line="240"/>
      </w:pPr>
      <w:r>
        <w:rPr>
          <w:rFonts w:ascii="Times New Roman" w:cs="Times New Roman" w:eastAsia="Times New Roman" w:hAnsi="Times New Roman"/>
          <w:b/>
          <w:bCs/>
          <w:sz w:val="20"/>
          <w:szCs w:val="20"/>
        </w:rPr>
        <w:t xml:space="preserve">6. Conclusión</w:t>
      </w:r>
    </w:p>
    <w:p>
      <w:pPr>
        <w:spacing w:after="120" w:before="0" w:line="240"/>
        <w:jc w:val="both"/>
      </w:pPr>
      <w:r>
        <w:rPr>
          <w:rFonts w:ascii="Times New Roman" w:cs="Times New Roman" w:eastAsia="Times New Roman" w:hAnsi="Times New Roman"/>
          <w:i/>
          <w:iCs/>
          <w:sz w:val="20"/>
          <w:szCs w:val="20"/>
        </w:rPr>
        <w:t xml:space="preserve">La revolución y la tierra</w:t>
      </w:r>
      <w:r>
        <w:rPr>
          <w:rFonts w:ascii="Times New Roman" w:cs="Times New Roman" w:eastAsia="Times New Roman" w:hAnsi="Times New Roman"/>
          <w:sz w:val="20"/>
          <w:szCs w:val="20"/>
        </w:rPr>
        <w:t xml:space="preserve"> enseña que la reforma agraria cambió la propiedad de la tierra, pero no eliminó de inmediato las ideas de superioridad que la sostenían. Los migrantes andinos llevaron a Lima su lengua y sus costumbres y enfrentaron un rechazo heredado de la hacienda, que aún se reproduce en aulas y centros de trabajo. Valorar la diversidad exige pasar del elogio folclórico a la equidad efectiva: espacios donde nadie deba ocultar su lengua o su origen para ser respetado. Universidades y empresas tienen la posibilidad de avanzar en ello con medidas concretas.</w:t>
      </w:r>
    </w:p>
    <w:p>
      <w:pPr>
        <w:keepNext/>
        <w:spacing w:after="60" w:before="80" w:line="240"/>
      </w:pPr>
      <w:r>
        <w:rPr>
          <w:rFonts w:ascii="Times New Roman" w:cs="Times New Roman" w:eastAsia="Times New Roman" w:hAnsi="Times New Roman"/>
          <w:b/>
          <w:bCs/>
          <w:sz w:val="20"/>
          <w:szCs w:val="20"/>
        </w:rPr>
        <w:t xml:space="preserve">Referencias</w:t>
      </w:r>
    </w:p>
    <w:p>
      <w:pPr>
        <w:spacing w:after="40" w:before="0" w:line="240"/>
        <w:ind w:left="360" w:hanging="360"/>
      </w:pPr>
      <w:r>
        <w:rPr>
          <w:rFonts w:ascii="Times New Roman" w:cs="Times New Roman" w:eastAsia="Times New Roman" w:hAnsi="Times New Roman"/>
          <w:sz w:val="20"/>
          <w:szCs w:val="20"/>
        </w:rPr>
        <w:t xml:space="preserve">De la Cadena, M. (2000). </w:t>
      </w:r>
      <w:r>
        <w:rPr>
          <w:rFonts w:ascii="Times New Roman" w:cs="Times New Roman" w:eastAsia="Times New Roman" w:hAnsi="Times New Roman"/>
          <w:i/>
          <w:iCs/>
          <w:sz w:val="20"/>
          <w:szCs w:val="20"/>
        </w:rPr>
        <w:t xml:space="preserve">Indígenas mestizos: Raza y cultura en el Cusco</w:t>
      </w:r>
      <w:r>
        <w:rPr>
          <w:rFonts w:ascii="Times New Roman" w:cs="Times New Roman" w:eastAsia="Times New Roman" w:hAnsi="Times New Roman"/>
          <w:sz w:val="20"/>
          <w:szCs w:val="20"/>
        </w:rPr>
        <w:t xml:space="preserve">. Instituto de Estudios Peruanos.</w:t>
      </w:r>
    </w:p>
    <w:p>
      <w:pPr>
        <w:spacing w:after="40" w:before="0" w:line="240"/>
        <w:ind w:left="360" w:hanging="360"/>
      </w:pPr>
      <w:r>
        <w:rPr>
          <w:rFonts w:ascii="Times New Roman" w:cs="Times New Roman" w:eastAsia="Times New Roman" w:hAnsi="Times New Roman"/>
          <w:sz w:val="20"/>
          <w:szCs w:val="20"/>
        </w:rPr>
        <w:t xml:space="preserve">Ley N.º 29735 (2011). Ley que regula el uso, preservación, desarrollo, recuperación, fomento y difusión de las lenguas originarias del Perú. Congreso de la República.</w:t>
      </w:r>
    </w:p>
    <w:p>
      <w:pPr>
        <w:spacing w:after="40" w:before="0" w:line="240"/>
        <w:ind w:left="360" w:hanging="360"/>
      </w:pPr>
      <w:r>
        <w:rPr>
          <w:rFonts w:ascii="Times New Roman" w:cs="Times New Roman" w:eastAsia="Times New Roman" w:hAnsi="Times New Roman"/>
          <w:sz w:val="20"/>
          <w:szCs w:val="20"/>
        </w:rPr>
        <w:t xml:space="preserve">Matos Mar, J. (1984). </w:t>
      </w:r>
      <w:r>
        <w:rPr>
          <w:rFonts w:ascii="Times New Roman" w:cs="Times New Roman" w:eastAsia="Times New Roman" w:hAnsi="Times New Roman"/>
          <w:i/>
          <w:iCs/>
          <w:sz w:val="20"/>
          <w:szCs w:val="20"/>
        </w:rPr>
        <w:t xml:space="preserve">Desborde popular y crisis del Estado</w:t>
      </w:r>
      <w:r>
        <w:rPr>
          <w:rFonts w:ascii="Times New Roman" w:cs="Times New Roman" w:eastAsia="Times New Roman" w:hAnsi="Times New Roman"/>
          <w:sz w:val="20"/>
          <w:szCs w:val="20"/>
        </w:rPr>
        <w:t xml:space="preserve">. Instituto de Estudios Peruanos.</w:t>
      </w:r>
    </w:p>
    <w:p>
      <w:pPr>
        <w:spacing w:after="40" w:before="0" w:line="240"/>
        <w:ind w:left="360" w:hanging="360"/>
      </w:pPr>
      <w:r>
        <w:rPr>
          <w:rFonts w:ascii="Times New Roman" w:cs="Times New Roman" w:eastAsia="Times New Roman" w:hAnsi="Times New Roman"/>
          <w:sz w:val="20"/>
          <w:szCs w:val="20"/>
        </w:rPr>
        <w:t xml:space="preserve">Nugent, G. (1992). </w:t>
      </w:r>
      <w:r>
        <w:rPr>
          <w:rFonts w:ascii="Times New Roman" w:cs="Times New Roman" w:eastAsia="Times New Roman" w:hAnsi="Times New Roman"/>
          <w:i/>
          <w:iCs/>
          <w:sz w:val="20"/>
          <w:szCs w:val="20"/>
        </w:rPr>
        <w:t xml:space="preserve">El laberinto de la choledad</w:t>
      </w:r>
      <w:r>
        <w:rPr>
          <w:rFonts w:ascii="Times New Roman" w:cs="Times New Roman" w:eastAsia="Times New Roman" w:hAnsi="Times New Roman"/>
          <w:sz w:val="20"/>
          <w:szCs w:val="20"/>
        </w:rPr>
        <w:t xml:space="preserve">. Fundación Friedrich Ebert.</w:t>
      </w:r>
    </w:p>
    <w:p>
      <w:pPr>
        <w:spacing w:after="40" w:before="0" w:line="240"/>
        <w:ind w:left="360" w:hanging="360"/>
      </w:pPr>
      <w:r>
        <w:rPr>
          <w:rFonts w:ascii="Times New Roman" w:cs="Times New Roman" w:eastAsia="Times New Roman" w:hAnsi="Times New Roman"/>
          <w:sz w:val="20"/>
          <w:szCs w:val="20"/>
        </w:rPr>
        <w:t xml:space="preserve">Portocarrero, G. (2007). </w:t>
      </w:r>
      <w:r>
        <w:rPr>
          <w:rFonts w:ascii="Times New Roman" w:cs="Times New Roman" w:eastAsia="Times New Roman" w:hAnsi="Times New Roman"/>
          <w:i/>
          <w:iCs/>
          <w:sz w:val="20"/>
          <w:szCs w:val="20"/>
        </w:rPr>
        <w:t xml:space="preserve">Racismo y mestizaje y otros ensayos</w:t>
      </w:r>
      <w:r>
        <w:rPr>
          <w:rFonts w:ascii="Times New Roman" w:cs="Times New Roman" w:eastAsia="Times New Roman" w:hAnsi="Times New Roman"/>
          <w:sz w:val="20"/>
          <w:szCs w:val="20"/>
        </w:rPr>
        <w:t xml:space="preserve">. Fondo Editorial del Congreso del Perú.</w:t>
      </w:r>
    </w:p>
    <w:p>
      <w:pPr>
        <w:spacing w:after="40" w:before="0" w:line="240"/>
        <w:ind w:left="360" w:hanging="360"/>
      </w:pPr>
      <w:r>
        <w:rPr>
          <w:rFonts w:ascii="Times New Roman" w:cs="Times New Roman" w:eastAsia="Times New Roman" w:hAnsi="Times New Roman"/>
          <w:sz w:val="20"/>
          <w:szCs w:val="20"/>
        </w:rPr>
        <w:t xml:space="preserve">Quijano, A. (2000). Colonialidad del poder, eurocentrismo y América Latina. En E. Lander (Comp.), </w:t>
      </w:r>
      <w:r>
        <w:rPr>
          <w:rFonts w:ascii="Times New Roman" w:cs="Times New Roman" w:eastAsia="Times New Roman" w:hAnsi="Times New Roman"/>
          <w:i/>
          <w:iCs/>
          <w:sz w:val="20"/>
          <w:szCs w:val="20"/>
        </w:rPr>
        <w:t xml:space="preserve">La colonialidad del saber</w:t>
      </w:r>
      <w:r>
        <w:rPr>
          <w:rFonts w:ascii="Times New Roman" w:cs="Times New Roman" w:eastAsia="Times New Roman" w:hAnsi="Times New Roman"/>
          <w:sz w:val="20"/>
          <w:szCs w:val="20"/>
        </w:rPr>
        <w:t xml:space="preserve">. CLACSO.</w:t>
      </w:r>
    </w:p>
    <w:p>
      <w:pPr>
        <w:spacing w:after="40" w:before="0" w:line="240"/>
        <w:ind w:left="360" w:hanging="360"/>
      </w:pPr>
      <w:r>
        <w:rPr>
          <w:rFonts w:ascii="Times New Roman" w:cs="Times New Roman" w:eastAsia="Times New Roman" w:hAnsi="Times New Roman"/>
          <w:sz w:val="20"/>
          <w:szCs w:val="20"/>
        </w:rPr>
        <w:t xml:space="preserve">UNESCO (2001). </w:t>
      </w:r>
      <w:r>
        <w:rPr>
          <w:rFonts w:ascii="Times New Roman" w:cs="Times New Roman" w:eastAsia="Times New Roman" w:hAnsi="Times New Roman"/>
          <w:i/>
          <w:iCs/>
          <w:sz w:val="20"/>
          <w:szCs w:val="20"/>
        </w:rPr>
        <w:t xml:space="preserve">Declaración Universal sobre la Diversidad Cultural</w:t>
      </w:r>
      <w:r>
        <w:rPr>
          <w:rFonts w:ascii="Times New Roman" w:cs="Times New Roman" w:eastAsia="Times New Roman" w:hAnsi="Times New Roman"/>
          <w:sz w:val="20"/>
          <w:szCs w:val="20"/>
        </w:rPr>
        <w:t xml:space="preserve">.</w:t>
      </w:r>
    </w:p>
    <w:sectPr>
      <w:pgSz w:w="11906" w:h="16838" w:orient="portrait"/>
      <w:pgMar w:top="1417" w:right="1417" w:bottom="1417"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2026-09-29T15:43:15.243Z</dcterms:created>
  <dcterms:modified xsi:type="dcterms:W3CDTF">2026-09-29T15:43:15.243Z</dcterms:modified>
</cp:coreProperties>
</file>

<file path=docProps/custom.xml><?xml version="1.0" encoding="utf-8"?>
<Properties xmlns="http://schemas.openxmlformats.org/officeDocument/2006/custom-properties" xmlns:vt="http://schemas.openxmlformats.org/officeDocument/2006/docPropsVTypes"/>
</file>