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 SMARTTONER</w:t>
      </w:r>
    </w:p>
    <w:p>
      <w:pPr>
        <w:pStyle w:val="Subtitle"/>
      </w:pPr>
      <w:r>
        <w:t>Propuesta de innovación para MB Insumos</w:t>
      </w:r>
    </w:p>
    <w:p>
      <w:r>
        <w:t>Innovación incremental aplicada a cartuchos de tóner compatibles para impresoras láser.</w:t>
      </w:r>
    </w:p>
    <w:p>
      <w:pPr>
        <w:pStyle w:val="Heading1"/>
      </w:pPr>
      <w:r>
        <w:t>1. Descripción de la innovación</w:t>
      </w:r>
    </w:p>
    <w:p>
      <w:r>
        <w:t>MB SmartToner consiste en ofrecer cartuchos de tóner compatibles con una etiqueta QR personalizada que permita acceder a información del producto, recomendaciones de uso, instrucciones de instalación y un sistema sencillo para solicitar su reposición. No se modifica el mecanismo interno del cartucho; se agrega una experiencia digital de servicio.</w:t>
      </w:r>
    </w:p>
    <w:p>
      <w:pPr>
        <w:pStyle w:val="Heading1"/>
      </w:pPr>
      <w:r>
        <w:t>2. Problema que soluciona</w:t>
      </w:r>
    </w:p>
    <w:p>
      <w:r>
        <w:t>Los usuarios pueden desconocer el modelo compatible, no saber cuándo reponer su tóner, tener dificultades de instalación o perder tiempo buscando nuevamente a su proveedor.</w:t>
      </w:r>
    </w:p>
    <w:p>
      <w:pPr>
        <w:pStyle w:val="Heading1"/>
      </w:pPr>
      <w:r>
        <w:t>3. Aplicación práctica</w:t>
      </w:r>
    </w:p>
    <w:p>
      <w:r>
        <w:t>1. Seleccionar el tóner compatible Brother TN-1060 para iniciar.</w:t>
      </w:r>
    </w:p>
    <w:p>
      <w:r>
        <w:t>2. Crear una etiqueta con logotipo, modelo y QR.</w:t>
      </w:r>
    </w:p>
    <w:p>
      <w:r>
        <w:t>3. Publicar una ficha digital en www.mbinsumos.com con instrucciones y enlace de recompra por WhatsApp.</w:t>
      </w:r>
    </w:p>
    <w:p>
      <w:r>
        <w:t>4. Realizar una prueba piloto con 20 cartuchos.</w:t>
      </w:r>
    </w:p>
    <w:p>
      <w:r>
        <w:t>5. Medir escaneos, solicitudes de soporte y recompras.</w:t>
      </w:r>
    </w:p>
    <w:p>
      <w:pPr>
        <w:pStyle w:val="Heading1"/>
      </w:pPr>
      <w:r>
        <w:t>4. Ventajas competitivas</w:t>
      </w:r>
    </w:p>
    <w:p>
      <w:r>
        <w:t>Facilita ventas recurrentes, fideliza a los clientes, integra el desarrollo de software con la comercialización de consumibles y permite promover la recolección responsable de cartuchos usados.</w:t>
      </w:r>
    </w:p>
    <w:p>
      <w:pPr>
        <w:pStyle w:val="Heading1"/>
      </w:pPr>
      <w:r>
        <w:t>5. Conclusión</w:t>
      </w:r>
    </w:p>
    <w:p>
      <w:r>
        <w:t>MB SmartToner transforma un consumible tradicional en un producto acompañado de servicios digitales. Puede comenzar con una inversión pequeña y extenderse a otros modelos de tóner y cartuchos de tinta. Se recomienda iniciar con TN-1060 y evaluar resultados antes de ampliar el programa.</w:t>
      </w:r>
    </w:p>
    <w:p>
      <w:pPr>
        <w:pStyle w:val="Heading1"/>
      </w:pPr>
      <w:r>
        <w:t>Características innovadoras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Innovación</w:t>
            </w:r>
          </w:p>
        </w:tc>
        <w:tc>
          <w:tcPr>
            <w:tcW w:type="dxa" w:w="4320"/>
          </w:tcPr>
          <w:p>
            <w:r>
              <w:t>Beneficio</w:t>
            </w:r>
          </w:p>
        </w:tc>
      </w:tr>
      <w:tr>
        <w:tc>
          <w:tcPr>
            <w:tcW w:type="dxa" w:w="4320"/>
          </w:tcPr>
          <w:p>
            <w:r>
              <w:t>Código QR personalizado</w:t>
            </w:r>
          </w:p>
        </w:tc>
        <w:tc>
          <w:tcPr>
            <w:tcW w:type="dxa" w:w="4320"/>
          </w:tcPr>
          <w:p>
            <w:r>
              <w:t>Acceso rápido a información del cartucho</w:t>
            </w:r>
          </w:p>
        </w:tc>
      </w:tr>
      <w:tr>
        <w:tc>
          <w:tcPr>
            <w:tcW w:type="dxa" w:w="4320"/>
          </w:tcPr>
          <w:p>
            <w:r>
              <w:t>Guía digital de instalación</w:t>
            </w:r>
          </w:p>
        </w:tc>
        <w:tc>
          <w:tcPr>
            <w:tcW w:type="dxa" w:w="4320"/>
          </w:tcPr>
          <w:p>
            <w:r>
              <w:t>Facilita el reemplazo</w:t>
            </w:r>
          </w:p>
        </w:tc>
      </w:tr>
      <w:tr>
        <w:tc>
          <w:tcPr>
            <w:tcW w:type="dxa" w:w="4320"/>
          </w:tcPr>
          <w:p>
            <w:r>
              <w:t>Recompra por WhatsApp</w:t>
            </w:r>
          </w:p>
        </w:tc>
        <w:tc>
          <w:tcPr>
            <w:tcW w:type="dxa" w:w="4320"/>
          </w:tcPr>
          <w:p>
            <w:r>
              <w:t>Solicitud ágil del mismo modelo</w:t>
            </w:r>
          </w:p>
        </w:tc>
      </w:tr>
      <w:tr>
        <w:tc>
          <w:tcPr>
            <w:tcW w:type="dxa" w:w="4320"/>
          </w:tcPr>
          <w:p>
            <w:r>
              <w:t>Historial de compras</w:t>
            </w:r>
          </w:p>
        </w:tc>
        <w:tc>
          <w:tcPr>
            <w:tcW w:type="dxa" w:w="4320"/>
          </w:tcPr>
          <w:p>
            <w:r>
              <w:t>Identificación de consumibles adquiridos</w:t>
            </w:r>
          </w:p>
        </w:tc>
      </w:tr>
      <w:tr>
        <w:tc>
          <w:tcPr>
            <w:tcW w:type="dxa" w:w="4320"/>
          </w:tcPr>
          <w:p>
            <w:r>
              <w:t>Recordatorio estimado</w:t>
            </w:r>
          </w:p>
        </w:tc>
        <w:tc>
          <w:tcPr>
            <w:tcW w:type="dxa" w:w="4320"/>
          </w:tcPr>
          <w:p>
            <w:r>
              <w:t>Ayuda a prevenir faltantes de tóner</w:t>
            </w:r>
          </w:p>
        </w:tc>
      </w:tr>
      <w:tr>
        <w:tc>
          <w:tcPr>
            <w:tcW w:type="dxa" w:w="4320"/>
          </w:tcPr>
          <w:p>
            <w:r>
              <w:t>Recolección de usados</w:t>
            </w:r>
          </w:p>
        </w:tc>
        <w:tc>
          <w:tcPr>
            <w:tcW w:type="dxa" w:w="4320"/>
          </w:tcPr>
          <w:p>
            <w:r>
              <w:t>Promueve disposición responsable</w:t>
            </w:r>
          </w:p>
        </w:tc>
      </w:tr>
    </w:tbl>
    <w:p>
      <w:pPr>
        <w:pStyle w:val="Heading1"/>
      </w:pPr>
      <w:r>
        <w:t>6. Inversión estimada</w:t>
      </w:r>
    </w:p>
    <w:p>
      <w:r>
        <w:t>Presupuesto orientativo para una prueba de 20 cartuchos, suponiendo desarrollo interno de la página digital. No son cotizaciones verificadas ni incluyen los cartuchos.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Costo estimado</w:t>
            </w:r>
          </w:p>
        </w:tc>
      </w:tr>
      <w:tr>
        <w:tc>
          <w:tcPr>
            <w:tcW w:type="dxa" w:w="4320"/>
          </w:tcPr>
          <w:p>
            <w:r>
              <w:t>Diseño de etiqueta y QR</w:t>
            </w:r>
          </w:p>
        </w:tc>
        <w:tc>
          <w:tcPr>
            <w:tcW w:type="dxa" w:w="4320"/>
          </w:tcPr>
          <w:p>
            <w:r>
              <w:t>$0–$150 MXN</w:t>
            </w:r>
          </w:p>
        </w:tc>
      </w:tr>
      <w:tr>
        <w:tc>
          <w:tcPr>
            <w:tcW w:type="dxa" w:w="4320"/>
          </w:tcPr>
          <w:p>
            <w:r>
              <w:t>Impresión de 20 etiquetas</w:t>
            </w:r>
          </w:p>
        </w:tc>
        <w:tc>
          <w:tcPr>
            <w:tcW w:type="dxa" w:w="4320"/>
          </w:tcPr>
          <w:p>
            <w:r>
              <w:t>$40–$100 MXN</w:t>
            </w:r>
          </w:p>
        </w:tc>
      </w:tr>
      <w:tr>
        <w:tc>
          <w:tcPr>
            <w:tcW w:type="dxa" w:w="4320"/>
          </w:tcPr>
          <w:p>
            <w:r>
              <w:t>Desarrollo de ficha digital básica</w:t>
            </w:r>
          </w:p>
        </w:tc>
        <w:tc>
          <w:tcPr>
            <w:tcW w:type="dxa" w:w="4320"/>
          </w:tcPr>
          <w:p>
            <w:r>
              <w:t>$0–$500 MXN</w:t>
            </w:r>
          </w:p>
        </w:tc>
      </w:tr>
      <w:tr>
        <w:tc>
          <w:tcPr>
            <w:tcW w:type="dxa" w:w="4320"/>
          </w:tcPr>
          <w:p>
            <w:r>
              <w:t>Material promocional</w:t>
            </w:r>
          </w:p>
        </w:tc>
        <w:tc>
          <w:tcPr>
            <w:tcW w:type="dxa" w:w="4320"/>
          </w:tcPr>
          <w:p>
            <w:r>
              <w:t>$100–$200 MXN</w:t>
            </w:r>
          </w:p>
        </w:tc>
      </w:tr>
      <w:tr>
        <w:tc>
          <w:tcPr>
            <w:tcW w:type="dxa" w:w="4320"/>
          </w:tcPr>
          <w:p>
            <w:r>
              <w:t>Inversión inicial</w:t>
            </w:r>
          </w:p>
        </w:tc>
        <w:tc>
          <w:tcPr>
            <w:tcW w:type="dxa" w:w="4320"/>
          </w:tcPr>
          <w:p>
            <w:r>
              <w:t>$140–$950 MXN</w:t>
            </w:r>
          </w:p>
        </w:tc>
      </w:tr>
    </w:tbl>
    <w:p>
      <w:pPr>
        <w:pStyle w:val="Heading1"/>
      </w:pPr>
      <w:r>
        <w:t>7. Objetivos e indicadores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Meta propuesta</w:t>
            </w:r>
          </w:p>
        </w:tc>
      </w:tr>
      <w:tr>
        <w:tc>
          <w:tcPr>
            <w:tcW w:type="dxa" w:w="4320"/>
          </w:tcPr>
          <w:p>
            <w:r>
              <w:t>Cartuchos con QR</w:t>
            </w:r>
          </w:p>
        </w:tc>
        <w:tc>
          <w:tcPr>
            <w:tcW w:type="dxa" w:w="4320"/>
          </w:tcPr>
          <w:p>
            <w:r>
              <w:t>20 unidades</w:t>
            </w:r>
          </w:p>
        </w:tc>
      </w:tr>
      <w:tr>
        <w:tc>
          <w:tcPr>
            <w:tcW w:type="dxa" w:w="4320"/>
          </w:tcPr>
          <w:p>
            <w:r>
              <w:t>Clientes que escanean el QR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  <w:tr>
        <w:tc>
          <w:tcPr>
            <w:tcW w:type="dxa" w:w="4320"/>
          </w:tcPr>
          <w:p>
            <w:r>
              <w:t>Clientes que realizan recompra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Periodo de evaluación</w:t>
            </w:r>
          </w:p>
        </w:tc>
        <w:tc>
          <w:tcPr>
            <w:tcW w:type="dxa" w:w="4320"/>
          </w:tcPr>
          <w:p>
            <w:r>
              <w:t>3 meses</w:t>
            </w:r>
          </w:p>
        </w:tc>
      </w:tr>
    </w:tbl>
    <w:p>
      <w:r>
        <w:t>Nota: El recordatorio de reposición se basa en una fecha estimada; no implica sensores electrónicos ni medición real del nivel de tóner.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MB Insumos · Soluciones Tecnológicas · Córdoba, Veracruz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AD17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AD17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AD17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