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Juan Pérez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123456789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1990-05-15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Calle Ficticia 123, Ciudad X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Mexicana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Soltero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+52 123 456 7890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juan.perez@example.com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Preparatoria Nacional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Licenciatura en Ingeniería de Software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Certificaciones Técnicas Certificación en Python, Certificación en AWS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TechCorp</w:t>
              <w:br/>
              <w:t>2015-2019</w:t>
              <w:br/>
              <w:t>Desarrollador de Software</w:t>
              <w:br/>
              <w:t>Desarrollo y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Desarrollo y mantenimiento de aplicaciones web.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Innovatech</w:t>
              <w:br/>
              <w:t>2019-2023</w:t>
              <w:br/>
              <w:t>Ingeniero de Software Senior</w:t>
              <w:br/>
              <w:t>Liderazgo en proyectos de integración de IA.</w:t>
            </w:r>
          </w:p>
        </w:tc>
        <w:tc>
          <w:tcPr>
            <w:tcW w:w="4261" w:type="dxa"/>
            <w:vAlign w:val="center"/>
          </w:tcPr>
          <w:p>
            <w:r>
              <w:t>Liderazgo en proyectos de integración de IA.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FutureTech</w:t>
              <w:br/>
              <w:t>2023-Presente</w:t>
              <w:br/>
              <w:t>Arquitecto de Soluciones</w:t>
              <w:br/>
              <w:t>Diseño de soluciones de software escalables.</w:t>
            </w:r>
          </w:p>
        </w:tc>
        <w:tc>
          <w:tcPr>
            <w:tcW w:w="4261" w:type="dxa"/>
            <w:vAlign w:val="center"/>
          </w:tcPr>
          <w:p>
            <w:r>
              <w:t>Diseño de soluciones de software escalables.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100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50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744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Sistema de Gestión de Inventarios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A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Desarrollador Principal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2020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5FAC1E4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PartnerProyect1</w:t>
            </w:r>
          </w:p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Plataforma de Análisis de Datos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Cliente B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Líder Técnico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2022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Desarrollo de Software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C474971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  <w:bookmarkStart w:id="0" w:name="_GoBack"/>
            <w:bookmarkEnd w:id="0"/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Proyect2</w:t>
            </w:r>
          </w:p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