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18" w:rsidRPr="00097F18" w:rsidRDefault="00097F18" w:rsidP="00097F18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SimSun" w:hAnsi="Georgia" w:cs="SimSun"/>
          <w:b/>
          <w:bCs/>
          <w:color w:val="010101"/>
          <w:spacing w:val="5"/>
          <w:kern w:val="0"/>
          <w:sz w:val="48"/>
          <w:szCs w:val="36"/>
        </w:rPr>
      </w:pPr>
      <w:r w:rsidRPr="00097F18">
        <w:rPr>
          <w:rFonts w:ascii="Georgia" w:eastAsia="SimSun" w:hAnsi="Georgia" w:cs="SimSun"/>
          <w:b/>
          <w:bCs/>
          <w:color w:val="010101"/>
          <w:spacing w:val="5"/>
          <w:kern w:val="0"/>
          <w:sz w:val="48"/>
          <w:szCs w:val="36"/>
        </w:rPr>
        <w:t>Introducing the actors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is a well-respected company that makes self-driving electric vehicles. In early April 2020,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won a large order to manufacture 10,000 Model D cars for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Daintree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a new entrant in the personal transport market. Although the order represents a significant win for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Daintree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will not have to pay for the vehicles until they start to be delivered on November 1, six months after the deal was formally agreed between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and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Daintree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.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To manufacture the vehicles,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will need to hire 1000 workers for at least 6 months. This puts a short term strain on its finances – it will require an extra 5M USD each month to pay these new employees. </w:t>
      </w:r>
      <w:r w:rsidRPr="00097F18">
        <w:rPr>
          <w:rFonts w:ascii="Arial" w:eastAsia="SimSun" w:hAnsi="Arial" w:cs="Arial"/>
          <w:b/>
          <w:bCs/>
          <w:color w:val="010101"/>
          <w:spacing w:val="5"/>
          <w:kern w:val="0"/>
          <w:sz w:val="24"/>
          <w:szCs w:val="24"/>
        </w:rPr>
        <w:t>Commercial paper</w:t>
      </w: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 is designed to help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overcome its short term financing needs – to meet payroll every month based on the expectation that it will be cash rich when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Daintree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starts to pay for its new Model D cars.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At the end of May,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needs 5M USD to meet payroll for the extra workers it hired on May 1. To do this, it issues a commercial paper with a face value of 5M USD with a maturity date 6 months in the future – when it expects to see cash flow from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Daintree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.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thinks that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is creditworthy, and therefore doesn’t require much of a premium above the central bank base rate of 2%, which would value 4.95M USD today at 5M USD in 6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months time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. It therefore purchases the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6 month commercial paper for 4.94M USD – a slight discount compared to the 4.95M USD it is worth.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fully expects that it will be able to redeem 5M USD from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in 6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months time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, making it a profit of 10K USD for bearing the increased risk associated with this commercial paper. This extra 10K means it receives a 2.4% return on investment – significantly better than the risk free return of 2%.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At the end of June, when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issues a new commercial paper for 5M USD to meet June’s payroll, it is purchased by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BigFund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for 4.94M USD. That’s because the commercial conditions are roughly the same in June as they are in May, resulting in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BigFund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valuing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commercial paper at the same price that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did in May.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Each subsequent month,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can issue new commercial paper to meet its payroll obligations, and these may be purchased by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or any other participant in the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PaperNet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commercial paper network –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BigFund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HedgeMatic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or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lastRenderedPageBreak/>
        <w:t>BrokerHouse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. These organizations may pay more or less for the commercial paper depending on two factors – the central bank base rate, and the risk associated with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. This latter figure depends on a variety of factors such as the production of Model D cars, and the creditworthiness of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as assessed by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RateM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, a ratings agency.</w:t>
      </w:r>
    </w:p>
    <w:p w:rsidR="00091B13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The organizations in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PaperNet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have different roles,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issues paper,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BigFund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HedgeMatic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and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BrokerHouse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trade paper and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RateM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rates paper. Organizations of the same role, such as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Bigfund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HedgeMatic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and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BrokerHouse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are competitors. Organizations of different roles are not necessarily competitors, yet might still have opposing business interest, for example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MagentoCorp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will desire a high rating for its papers to sell them at a high price, while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DigiBank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would benefit from a low rating, such that it can buy them at a low price. As can be seen, even a seemingly simple network such as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PaperNet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can have complex trust relationships. </w:t>
      </w:r>
    </w:p>
    <w:p w:rsidR="00097F18" w:rsidRPr="00091B13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b/>
          <w:color w:val="010101"/>
          <w:spacing w:val="5"/>
          <w:kern w:val="0"/>
          <w:sz w:val="24"/>
          <w:szCs w:val="24"/>
        </w:rPr>
      </w:pPr>
      <w:r w:rsidRPr="00091B13">
        <w:rPr>
          <w:rFonts w:ascii="Arial" w:eastAsia="SimSun" w:hAnsi="Arial" w:cs="Arial"/>
          <w:b/>
          <w:color w:val="010101"/>
          <w:spacing w:val="5"/>
          <w:kern w:val="0"/>
          <w:sz w:val="24"/>
          <w:szCs w:val="24"/>
        </w:rPr>
        <w:t>A blockchain can help establish trust among organizations that are competitors or have opposing business interests that might lead to disputes. Fabric in particular has the means to capture even fine-grained trust relationships.</w:t>
      </w:r>
    </w:p>
    <w:p w:rsidR="00097F18" w:rsidRPr="00097F18" w:rsidRDefault="00097F18" w:rsidP="00097F18">
      <w:pPr>
        <w:widowControl/>
        <w:shd w:val="clear" w:color="auto" w:fill="FCFCFC"/>
        <w:spacing w:after="360" w:line="360" w:lineRule="atLeast"/>
        <w:jc w:val="left"/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</w:pPr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Let’s pause the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MagnetoCorp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story for a moment, and develop the client applications and smart contracts that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PaperNet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 xml:space="preserve"> uses to issue, buy, sell and redeem commercial paper as well as capture the trust relationships between the organizations. We’ll come back to the role of the rating agency, </w:t>
      </w:r>
      <w:proofErr w:type="spellStart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RateM</w:t>
      </w:r>
      <w:proofErr w:type="spellEnd"/>
      <w:r w:rsidRPr="00097F18">
        <w:rPr>
          <w:rFonts w:ascii="Arial" w:eastAsia="SimSun" w:hAnsi="Arial" w:cs="Arial"/>
          <w:color w:val="010101"/>
          <w:spacing w:val="5"/>
          <w:kern w:val="0"/>
          <w:sz w:val="24"/>
          <w:szCs w:val="24"/>
        </w:rPr>
        <w:t>, a little later.</w:t>
      </w:r>
      <w:bookmarkStart w:id="0" w:name="_GoBack"/>
      <w:bookmarkEnd w:id="0"/>
    </w:p>
    <w:p w:rsidR="00E2748D" w:rsidRPr="00097F18" w:rsidRDefault="00E2748D"/>
    <w:sectPr w:rsidR="00E2748D" w:rsidRPr="00097F1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CDD" w:rsidRDefault="00D32CDD" w:rsidP="00091B13">
      <w:r>
        <w:separator/>
      </w:r>
    </w:p>
  </w:endnote>
  <w:endnote w:type="continuationSeparator" w:id="0">
    <w:p w:rsidR="00D32CDD" w:rsidRDefault="00D32CDD" w:rsidP="0009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CDD" w:rsidRDefault="00D32CDD" w:rsidP="00091B13">
      <w:r>
        <w:separator/>
      </w:r>
    </w:p>
  </w:footnote>
  <w:footnote w:type="continuationSeparator" w:id="0">
    <w:p w:rsidR="00D32CDD" w:rsidRDefault="00D32CDD" w:rsidP="00091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18"/>
    <w:rsid w:val="00091B13"/>
    <w:rsid w:val="00097F18"/>
    <w:rsid w:val="00D32CDD"/>
    <w:rsid w:val="00E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97F1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F18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F1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97F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1B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1B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1B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1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97F1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F18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F1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97F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1B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1B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1B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1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 Ling</dc:creator>
  <cp:lastModifiedBy>Zong Ling</cp:lastModifiedBy>
  <cp:revision>2</cp:revision>
  <dcterms:created xsi:type="dcterms:W3CDTF">2020-01-27T17:29:00Z</dcterms:created>
  <dcterms:modified xsi:type="dcterms:W3CDTF">2020-08-18T20:31:00Z</dcterms:modified>
</cp:coreProperties>
</file>