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0E334D" w:rsidRDefault="000E334D" w:rsidP="000E334D">
      <w:r>
        <w:t>### **Key Takeaways from Contrarian Signals Framework Analysis**</w:t>
      </w:r>
    </w:p>
    <w:p w:rsidR="000E334D" w:rsidRDefault="000E334D" w:rsidP="000E334D"/>
    <w:p w:rsidR="000E334D" w:rsidRDefault="000E334D" w:rsidP="000E334D">
      <w:r>
        <w:t>| **Key Takeaway**                         | **Context**                                                                                              | **Impact Assessment**                                                                                     |</w:t>
      </w:r>
    </w:p>
    <w:p w:rsidR="000E334D" w:rsidRDefault="000E334D" w:rsidP="000E334D">
      <w:r>
        <w:t>|-----------------------------------------|---------------------------------------------------------------------------------------------------------|----------------------------------------------------------------------------------------------------------|</w:t>
      </w:r>
    </w:p>
    <w:p w:rsidR="000E334D" w:rsidRDefault="000E334D" w:rsidP="000E334D">
      <w:r>
        <w:t>| **1. BB-Rated CLO Risks Underappreciated** | Analysts focus on structural protections but overlook **rising defaults** in leveraged loans. | BB-rated CLOs face significant **mark-to-market losses** if leveraged loan defaults increase further</w:t>
      </w:r>
      <w:proofErr w:type="gramStart"/>
      <w:r>
        <w:t xml:space="preserve">.  </w:t>
      </w:r>
      <w:proofErr w:type="gramEnd"/>
      <w:r>
        <w:t xml:space="preserve">  |</w:t>
      </w:r>
    </w:p>
    <w:p w:rsidR="000E334D" w:rsidRDefault="000E334D" w:rsidP="000E334D">
      <w:r>
        <w:t>| **2. Overvaluation of Office CMBS Senior Tranches** | Analysts assume safety in senior CMBS, but **structural demand erosion** and refinancing risks remain. | Office-backed CMBS, even senior tranches, could see **downgrades** or **unexpected impairments**</w:t>
      </w:r>
      <w:proofErr w:type="gramStart"/>
      <w:r>
        <w:t xml:space="preserve">.  </w:t>
      </w:r>
      <w:proofErr w:type="gramEnd"/>
      <w:r>
        <w:t xml:space="preserve">       |</w:t>
      </w:r>
    </w:p>
    <w:p w:rsidR="000E334D" w:rsidRDefault="000E334D" w:rsidP="000E334D">
      <w:r>
        <w:t>| **3. Aircraft ABS—A Hidden Opportunity** | Improving global air traffic (6% above 2019 levels) supports **strong performance** in aircraft ABS. | Senior portions of aircraft ABS offer **attractive yields** and **capital accretion** with improving fundamentals. |</w:t>
      </w:r>
    </w:p>
    <w:p w:rsidR="000E334D" w:rsidRDefault="000E334D" w:rsidP="000E334D">
      <w:r>
        <w:t>| **4. Climate Risk Underpricing in RMBS** | Localized climate events (e.g., floods, fires) pose risks to **RMBS collateral valuations**, often ignored. | Overlooked risks could result in **regional delinquencies** and unexpected **valuation declines**</w:t>
      </w:r>
      <w:proofErr w:type="gramStart"/>
      <w:r>
        <w:t xml:space="preserve">.  </w:t>
      </w:r>
      <w:proofErr w:type="gramEnd"/>
      <w:r>
        <w:t xml:space="preserve">     |</w:t>
      </w:r>
    </w:p>
    <w:p w:rsidR="000E334D" w:rsidRDefault="000E334D" w:rsidP="000E334D">
      <w:r>
        <w:t>| **5. Subprime RMBS Delinquencies Rising** | Consumer stress, especially in **lower-credit cohorts**, drives delinquencies amid inflation and rate pressures. | Subprime RMBS face **spread widening** and potential **cash flow disruptions** in the near term</w:t>
      </w:r>
      <w:proofErr w:type="gramStart"/>
      <w:r>
        <w:t xml:space="preserve">.  </w:t>
      </w:r>
      <w:proofErr w:type="gramEnd"/>
      <w:r>
        <w:t xml:space="preserve">        |</w:t>
      </w:r>
    </w:p>
    <w:p w:rsidR="000E334D" w:rsidRDefault="000E334D" w:rsidP="000E334D"/>
    <w:p w:rsidR="00405C77" w:rsidRPr="000E334D" w:rsidRDefault="00405C77" w:rsidP="000E334D"/>
    <w:sectPr w:rsidR="00405C77" w:rsidRPr="000E33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A1B4330C-7DF2-433D-B925-7FEB38F9E24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99DB8CCC-F471-4A8E-B4EC-62DA9E85304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  <w:embedRegular r:id="rId3" w:fontKey="{09126EF0-58DC-4E16-8562-1A056C4FEA4D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4E6B"/>
    <w:rsid w:val="000E334D"/>
    <w:rsid w:val="00405C77"/>
    <w:rsid w:val="004C1D36"/>
    <w:rsid w:val="00562821"/>
    <w:rsid w:val="00A755BF"/>
    <w:rsid w:val="00C5461D"/>
    <w:rsid w:val="00D00BB4"/>
    <w:rsid w:val="00E24E6B"/>
    <w:rsid w:val="00E80743"/>
    <w:rsid w:val="00E81943"/>
    <w:rsid w:val="00EB7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57151A"/>
  <w14:defaultImageDpi w14:val="32767"/>
  <w15:chartTrackingRefBased/>
  <w15:docId w15:val="{06BE08DB-C969-4DD8-B6B0-5D616A1D20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mbria" w:eastAsiaTheme="minorHAnsi" w:hAnsi="Cambria" w:cs="Arial"/>
        <w:color w:val="262626" w:themeColor="text1" w:themeTint="D9"/>
        <w:sz w:val="22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1D3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012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4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54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9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1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20"/>
  <w:targetScreenSz w:val="1920x1200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Feathered">
  <a:themeElements>
    <a:clrScheme name="Feathered">
      <a:dk1>
        <a:sysClr val="windowText" lastClr="000000"/>
      </a:dk1>
      <a:lt1>
        <a:sysClr val="window" lastClr="FFFFFF"/>
      </a:lt1>
      <a:dk2>
        <a:srgbClr val="121316"/>
      </a:dk2>
      <a:lt2>
        <a:srgbClr val="FEFCF7"/>
      </a:lt2>
      <a:accent1>
        <a:srgbClr val="606372"/>
      </a:accent1>
      <a:accent2>
        <a:srgbClr val="79A8A4"/>
      </a:accent2>
      <a:accent3>
        <a:srgbClr val="B2AD8F"/>
      </a:accent3>
      <a:accent4>
        <a:srgbClr val="AD8082"/>
      </a:accent4>
      <a:accent5>
        <a:srgbClr val="DEC18C"/>
      </a:accent5>
      <a:accent6>
        <a:srgbClr val="92A185"/>
      </a:accent6>
      <a:hlink>
        <a:srgbClr val="85C4D2"/>
      </a:hlink>
      <a:folHlink>
        <a:srgbClr val="8E8CA7"/>
      </a:folHlink>
    </a:clrScheme>
    <a:fontScheme name="Feathered">
      <a:majorFont>
        <a:latin typeface="Century Schoolbook" panose="02040604050505020304"/>
        <a:ea typeface=""/>
        <a:cs typeface=""/>
        <a:font script="Jpan" typeface="メイリオ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Feathered">
      <a:fillStyleLst>
        <a:solidFill>
          <a:schemeClr val="phClr"/>
        </a:solidFill>
        <a:solidFill>
          <a:schemeClr val="phClr">
            <a:tint val="67000"/>
            <a:satMod val="105000"/>
          </a:schemeClr>
        </a:soli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0000"/>
                <a:satMod val="120000"/>
                <a:lumMod val="99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>
              <a:tint val="50000"/>
              <a:shade val="83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25400" dir="5400000" algn="ctr" rotWithShape="0">
              <a:srgbClr val="000000">
                <a:alpha val="20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eathered" id="{EEC9B30E-2747-4D42-BCBE-A02BDEEEA114}" vid="{AACE42CE-5C67-4514-8A89-3472F564E146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283</Words>
  <Characters>1617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ORION</dc:creator>
  <cp:keywords/>
  <dc:description/>
  <cp:lastModifiedBy>ORION</cp:lastModifiedBy>
  <cp:revision>2</cp:revision>
  <dcterms:created xsi:type="dcterms:W3CDTF">2024-12-17T04:21:00Z</dcterms:created>
  <dcterms:modified xsi:type="dcterms:W3CDTF">2024-12-17T04:21:00Z</dcterms:modified>
</cp:coreProperties>
</file>