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4E6B" w:rsidRDefault="00E24E6B" w:rsidP="00E24E6B">
      <w:r>
        <w:t>| **Factor**                      | **Relative Importance** | **Key Example**                                       | **Why It Matters**                                                                 |</w:t>
      </w:r>
    </w:p>
    <w:p w:rsidR="00E24E6B" w:rsidRDefault="00E24E6B" w:rsidP="00E24E6B">
      <w:r>
        <w:t>|--------------------------------|-------------------------|------------------------------------------------------|----------------------------------------------------------------------------------|</w:t>
      </w:r>
    </w:p>
    <w:p w:rsidR="00E24E6B" w:rsidRDefault="00E24E6B" w:rsidP="00E24E6B">
      <w:r>
        <w:t>| **Office CRE Refinancing Risk** | **1.0**                | Sharp sentiment decline in **CMBS Office** tranches | Office property valuations are deteriorating rapidly, amplifying default risks</w:t>
      </w:r>
      <w:proofErr w:type="gramStart"/>
      <w:r>
        <w:t xml:space="preserve">.  </w:t>
      </w:r>
      <w:proofErr w:type="gramEnd"/>
      <w:r>
        <w:t xml:space="preserve"> |</w:t>
      </w:r>
    </w:p>
    <w:p w:rsidR="00E24E6B" w:rsidRDefault="00E24E6B" w:rsidP="00E24E6B">
      <w:r>
        <w:t xml:space="preserve">| **Credit Quality Divergence**   | **0.85**               | Positive views on **CLO AAA** vs. bearish on **BB CLOs** | Reflects systemic bifurcation: AAA remains </w:t>
      </w:r>
      <w:proofErr w:type="gramStart"/>
      <w:r>
        <w:t>a safe haven</w:t>
      </w:r>
      <w:proofErr w:type="gramEnd"/>
      <w:r>
        <w:t>, while BB faces default pressure. |</w:t>
      </w:r>
    </w:p>
    <w:p w:rsidR="00E24E6B" w:rsidRDefault="00E24E6B" w:rsidP="00E24E6B">
      <w:r>
        <w:t>| **Macroeconomic Uncertainty**   | **0.8**                | Higher-for-longer rates stress **CLO BB** refinancing | Macro volatility directly affects leverage, credit spreads, and refinancing</w:t>
      </w:r>
      <w:proofErr w:type="gramStart"/>
      <w:r>
        <w:t xml:space="preserve">.  </w:t>
      </w:r>
      <w:proofErr w:type="gramEnd"/>
      <w:r>
        <w:t xml:space="preserve">   |</w:t>
      </w:r>
    </w:p>
    <w:p w:rsidR="00E24E6B" w:rsidRDefault="00E24E6B" w:rsidP="00E24E6B">
      <w:r>
        <w:t>| **Consumer Credit Divergence*</w:t>
      </w:r>
      <w:proofErr w:type="gramStart"/>
      <w:r>
        <w:t>*  |</w:t>
      </w:r>
      <w:proofErr w:type="gramEnd"/>
      <w:r>
        <w:t xml:space="preserve"> **0.65**               | Rising delinquencies in **subprime RMBS**            | Indicates growing stress on lower-income borrowers, signaling cracks in consumer resilience. |</w:t>
      </w:r>
    </w:p>
    <w:p w:rsidR="00E24E6B" w:rsidRDefault="00E24E6B" w:rsidP="00E24E6B">
      <w:r>
        <w:t>| **Green Securitizations**       | **0.55**               | Growth in **EV loan ABS** and **green RMBS**         | ESG-driven securitizations are an emerging opportunity but lack immediacy</w:t>
      </w:r>
      <w:proofErr w:type="gramStart"/>
      <w:r>
        <w:t xml:space="preserve">.  </w:t>
      </w:r>
      <w:proofErr w:type="gramEnd"/>
      <w:r>
        <w:t xml:space="preserve">     |</w:t>
      </w:r>
    </w:p>
    <w:p w:rsidR="00E24E6B" w:rsidRDefault="00E24E6B" w:rsidP="00E24E6B">
      <w:r>
        <w:t>| **Private Credit Scrutiny**     | **0.5**                | Regulatory oversight on **private credit funds**     | May constrain leveraged loan supply, affecting **CLO pipelines** and mezzanine risk. |</w:t>
      </w:r>
    </w:p>
    <w:p w:rsidR="00E24E6B" w:rsidRDefault="00E24E6B" w:rsidP="00E24E6B">
      <w:r>
        <w:t>| **Resilience of Multifamily CRE** | **0.4**                | Positive sentiment on **CMBS Industrial** tranches   | Industrial and multifamily CRE remain resilient, providing selective opportunities. |</w:t>
      </w:r>
    </w:p>
    <w:p w:rsidR="00E24E6B" w:rsidRDefault="00E24E6B" w:rsidP="00E24E6B"/>
    <w:p w:rsidR="00E24E6B" w:rsidRDefault="00E24E6B" w:rsidP="00E24E6B">
      <w:r>
        <w:t>---</w:t>
      </w:r>
    </w:p>
    <w:p w:rsidR="00E24E6B" w:rsidRDefault="00E24E6B" w:rsidP="00E24E6B"/>
    <w:p w:rsidR="00E24E6B" w:rsidRDefault="00E24E6B" w:rsidP="00E24E6B">
      <w:r>
        <w:t xml:space="preserve">### **How Relative Importance Was Derived**:  </w:t>
      </w:r>
    </w:p>
    <w:p w:rsidR="00E24E6B" w:rsidRDefault="00E24E6B" w:rsidP="00E24E6B">
      <w:r>
        <w:t>1. **Office CRE Refinancing Risk (</w:t>
      </w:r>
      <w:proofErr w:type="gramStart"/>
      <w:r>
        <w:t>1.0)*</w:t>
      </w:r>
      <w:proofErr w:type="gramEnd"/>
      <w:r>
        <w:t xml:space="preserve">*:  </w:t>
      </w:r>
    </w:p>
    <w:p w:rsidR="00E24E6B" w:rsidRDefault="00E24E6B" w:rsidP="00E24E6B">
      <w:r>
        <w:t xml:space="preserve">   - Clearly the most immediate and severe threat, consistently flagged as a systemic risk across reports. Implications include defaults, liquidity crunches, and spread volatility in CMBS.</w:t>
      </w:r>
    </w:p>
    <w:p w:rsidR="00E24E6B" w:rsidRDefault="00E24E6B" w:rsidP="00E24E6B"/>
    <w:p w:rsidR="00E24E6B" w:rsidRDefault="00E24E6B" w:rsidP="00E24E6B">
      <w:r>
        <w:t>2. **Credit Quality Divergence (</w:t>
      </w:r>
      <w:proofErr w:type="gramStart"/>
      <w:r>
        <w:t>0.85)*</w:t>
      </w:r>
      <w:proofErr w:type="gramEnd"/>
      <w:r>
        <w:t xml:space="preserve">*:  </w:t>
      </w:r>
    </w:p>
    <w:p w:rsidR="00E24E6B" w:rsidRDefault="00E24E6B" w:rsidP="00E24E6B">
      <w:r>
        <w:t xml:space="preserve">   - Highly interconnected with macro trends and structural credit bifurcation. AAA CLOs remain stable, while BB tranches are vulnerable to downgrades and refinancing headwinds.</w:t>
      </w:r>
    </w:p>
    <w:p w:rsidR="00E24E6B" w:rsidRDefault="00E24E6B" w:rsidP="00E24E6B"/>
    <w:p w:rsidR="00E24E6B" w:rsidRDefault="00E24E6B" w:rsidP="00E24E6B">
      <w:r>
        <w:t>3. **Macroeconomic Uncertainty (</w:t>
      </w:r>
      <w:proofErr w:type="gramStart"/>
      <w:r>
        <w:t>0.8)*</w:t>
      </w:r>
      <w:proofErr w:type="gramEnd"/>
      <w:r>
        <w:t xml:space="preserve">*:  </w:t>
      </w:r>
    </w:p>
    <w:p w:rsidR="00E24E6B" w:rsidRDefault="00E24E6B" w:rsidP="00E24E6B">
      <w:r>
        <w:t xml:space="preserve">   - Affects all credit markets through **higher rates** and **slower-than-expected easing**, impacting riskier tranches (BB CLOs, non-QM RMBS) the most.</w:t>
      </w:r>
    </w:p>
    <w:p w:rsidR="00E24E6B" w:rsidRDefault="00E24E6B" w:rsidP="00E24E6B"/>
    <w:p w:rsidR="00E24E6B" w:rsidRDefault="00E24E6B" w:rsidP="00E24E6B">
      <w:r>
        <w:t>4. **Consumer Credit Divergence (</w:t>
      </w:r>
      <w:proofErr w:type="gramStart"/>
      <w:r>
        <w:t>0.65)*</w:t>
      </w:r>
      <w:proofErr w:type="gramEnd"/>
      <w:r>
        <w:t xml:space="preserve">*:  </w:t>
      </w:r>
    </w:p>
    <w:p w:rsidR="00E24E6B" w:rsidRDefault="00E24E6B" w:rsidP="00E24E6B">
      <w:r>
        <w:t xml:space="preserve">   - Analysts signal cracks in subprime borrower resilience. While not systemic yet, rising delinquencies in **subprime RMBS** reflect stress in household balance sheets.</w:t>
      </w:r>
    </w:p>
    <w:p w:rsidR="00E24E6B" w:rsidRDefault="00E24E6B" w:rsidP="00E24E6B"/>
    <w:p w:rsidR="00E24E6B" w:rsidRDefault="00E24E6B" w:rsidP="00E24E6B">
      <w:r>
        <w:t>5. **Green Securitizations (</w:t>
      </w:r>
      <w:proofErr w:type="gramStart"/>
      <w:r>
        <w:t>0.55)*</w:t>
      </w:r>
      <w:proofErr w:type="gramEnd"/>
      <w:r>
        <w:t xml:space="preserve">*:  </w:t>
      </w:r>
    </w:p>
    <w:p w:rsidR="00E24E6B" w:rsidRDefault="00E24E6B" w:rsidP="00E24E6B">
      <w:r>
        <w:t xml:space="preserve">   - Long-term opportunity driven by policy incentives but not as immediate or severe as other factors.</w:t>
      </w:r>
    </w:p>
    <w:p w:rsidR="00E24E6B" w:rsidRDefault="00E24E6B" w:rsidP="00E24E6B"/>
    <w:p w:rsidR="00E24E6B" w:rsidRDefault="00E24E6B" w:rsidP="00E24E6B">
      <w:r>
        <w:t>6. **Private Credit Scrutiny (</w:t>
      </w:r>
      <w:proofErr w:type="gramStart"/>
      <w:r>
        <w:t>0.5)*</w:t>
      </w:r>
      <w:proofErr w:type="gramEnd"/>
      <w:r>
        <w:t xml:space="preserve">*:  </w:t>
      </w:r>
    </w:p>
    <w:p w:rsidR="00E24E6B" w:rsidRDefault="00E24E6B" w:rsidP="00E24E6B">
      <w:r>
        <w:t xml:space="preserve">   - Regulatory risks could constrain CLO supply, but these changes are still evolving and less imminent compared to CRE or consumer credit concerns.</w:t>
      </w:r>
    </w:p>
    <w:p w:rsidR="00E24E6B" w:rsidRDefault="00E24E6B" w:rsidP="00E24E6B"/>
    <w:p w:rsidR="00E24E6B" w:rsidRDefault="00E24E6B" w:rsidP="00E24E6B">
      <w:r>
        <w:t>7. **Resilience of Multifamily CRE (</w:t>
      </w:r>
      <w:proofErr w:type="gramStart"/>
      <w:r>
        <w:t>0.4)*</w:t>
      </w:r>
      <w:proofErr w:type="gramEnd"/>
      <w:r>
        <w:t xml:space="preserve">*:  </w:t>
      </w:r>
    </w:p>
    <w:p w:rsidR="00E24E6B" w:rsidRDefault="00E24E6B" w:rsidP="00E24E6B">
      <w:r>
        <w:t xml:space="preserve">   - Positive tailwind for industrial and multifamily CMBS segments but not a systemic driver of market sentiment.</w:t>
      </w:r>
    </w:p>
    <w:p w:rsidR="00405C77" w:rsidRDefault="00405C77" w:rsidP="00E24E6B"/>
    <w:sectPr w:rsidR="00405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B170F2E-A93C-4FB6-8C52-52E35CDD1D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DF4B0D-B292-47EE-878B-F9030AA300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8BD7CFBE-BECB-4EAE-BE13-9F781559F33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6B"/>
    <w:rsid w:val="00405C77"/>
    <w:rsid w:val="004C1D36"/>
    <w:rsid w:val="00562821"/>
    <w:rsid w:val="00A755BF"/>
    <w:rsid w:val="00E24E6B"/>
    <w:rsid w:val="00E8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151A"/>
  <w14:defaultImageDpi w14:val="32767"/>
  <w15:chartTrackingRefBased/>
  <w15:docId w15:val="{06BE08DB-C969-4DD8-B6B0-5D616A1D2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="Arial"/>
        <w:color w:val="262626" w:themeColor="text1" w:themeTint="D9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484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</dc:creator>
  <cp:keywords/>
  <dc:description/>
  <cp:lastModifiedBy>ORION</cp:lastModifiedBy>
  <cp:revision>1</cp:revision>
  <dcterms:created xsi:type="dcterms:W3CDTF">2024-12-17T03:37:00Z</dcterms:created>
  <dcterms:modified xsi:type="dcterms:W3CDTF">2024-12-17T03:40:00Z</dcterms:modified>
</cp:coreProperties>
</file>