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5461D" w:rsidRDefault="00C5461D" w:rsidP="00C5461D">
      <w:r>
        <w:t>| **Key Takeaway**                                | **Context**                                                                                                                                   | **Impact Assessment**                                                                                       |</w:t>
      </w:r>
    </w:p>
    <w:p w:rsidR="00C5461D" w:rsidRDefault="00C5461D" w:rsidP="00C5461D">
      <w:r>
        <w:t>|-------------------------------------------------|-----------------------------------------------------------------------------------------------------------------------------------------------|------------------------------------------------------------------------------------------------------------|</w:t>
      </w:r>
    </w:p>
    <w:p w:rsidR="00C5461D" w:rsidRDefault="00C5461D" w:rsidP="00C5461D">
      <w:r>
        <w:t>| **1. Underrated Risks in BB CLO Tranches**       | While most analysts favor AAA CLOs, **BB-rated CLO tranches** face underappreciated risks due to rising **loan downgrades** and **defaults**. | High exposure to leveraged loan stress could result in unexpected mark-to-market losses and spread widening. |</w:t>
      </w:r>
    </w:p>
    <w:p w:rsidR="00C5461D" w:rsidRDefault="00C5461D" w:rsidP="00C5461D">
      <w:r>
        <w:t>| **2. Overvaluation in Office CMBS Senior Tranches** | The market assumes safety in **AAA-rated CMBS**, but declining office CRE valuations and refinancing risks challenge this belief</w:t>
      </w:r>
      <w:proofErr w:type="gramStart"/>
      <w:r>
        <w:t xml:space="preserve">.  </w:t>
      </w:r>
      <w:proofErr w:type="gramEnd"/>
      <w:r>
        <w:t xml:space="preserve">         | Potential loss recognition in senior tranches could trigger a reassessment of CMBS as a stable asset class</w:t>
      </w:r>
      <w:proofErr w:type="gramStart"/>
      <w:r>
        <w:t xml:space="preserve">.  </w:t>
      </w:r>
      <w:proofErr w:type="gramEnd"/>
      <w:r>
        <w:t>|</w:t>
      </w:r>
    </w:p>
    <w:p w:rsidR="00C5461D" w:rsidRDefault="00C5461D" w:rsidP="00C5461D">
      <w:r>
        <w:t>| **3. Hidden Resilience in Non-Agency RMBS**       | Hybrid ARM non-agency RMBS are **undervalued**, supported by **borrower equity strength** and rising home prices despite affordability risks. | Select RMBS offer asymmetric upside with rate cut tailwinds, but affordability stress in weaker cohorts remains a risk. |</w:t>
      </w:r>
    </w:p>
    <w:p w:rsidR="00C5461D" w:rsidRDefault="00C5461D" w:rsidP="00C5461D">
      <w:r>
        <w:t>| **4. Aircraft ABS as an Overlooked Opportunity*</w:t>
      </w:r>
      <w:proofErr w:type="gramStart"/>
      <w:r>
        <w:t>*  |</w:t>
      </w:r>
      <w:proofErr w:type="gramEnd"/>
      <w:r>
        <w:t xml:space="preserve"> Post-pandemic recovery and supply chain issues have driven **lease rate increases** for existing fleets, benefiting **aircraft ABS**.        | Niche asset class offers attractive yield with improving fundamentals, though sensitive to fuel costs and airline health. |</w:t>
      </w:r>
    </w:p>
    <w:p w:rsidR="00C5461D" w:rsidRDefault="00C5461D" w:rsidP="00C5461D">
      <w:r>
        <w:t>| **5. Emerging Climate Risk Underpricing**         | Analysts largely ignore **localized climate risks** (e.g., floods, wildfires) affecting RMBS and CMBS collateral in vulnerable regions</w:t>
      </w:r>
      <w:proofErr w:type="gramStart"/>
      <w:r>
        <w:t xml:space="preserve">.  </w:t>
      </w:r>
      <w:proofErr w:type="gramEnd"/>
      <w:r>
        <w:t xml:space="preserve">     | Underpriced risks could manifest in specific deals, driving delinquencies, regional valuation declines, and spread volatility. |</w:t>
      </w:r>
    </w:p>
    <w:p w:rsidR="00C5461D" w:rsidRDefault="00C5461D" w:rsidP="00C5461D"/>
    <w:p w:rsidR="00C5461D" w:rsidRDefault="00C5461D" w:rsidP="00C5461D">
      <w:r>
        <w:t>---</w:t>
      </w:r>
    </w:p>
    <w:p w:rsidR="00C5461D" w:rsidRDefault="00C5461D" w:rsidP="00C5461D"/>
    <w:p w:rsidR="00C5461D" w:rsidRDefault="00C5461D" w:rsidP="00C5461D">
      <w:r>
        <w:t>### Context and Expanded Impact</w:t>
      </w:r>
    </w:p>
    <w:p w:rsidR="00C5461D" w:rsidRDefault="00C5461D" w:rsidP="00C5461D"/>
    <w:p w:rsidR="00C5461D" w:rsidRDefault="00C5461D" w:rsidP="00C5461D">
      <w:r>
        <w:t xml:space="preserve">1. **Underrated Risks in BB CLO Tranches**:  </w:t>
      </w:r>
    </w:p>
    <w:p w:rsidR="00C5461D" w:rsidRDefault="00C5461D" w:rsidP="00C5461D">
      <w:r>
        <w:t xml:space="preserve">   - BB-rated CLOs are sensitive to leveraged loan defaults, which are rising amid tighter financial conditions and slower refinancing</w:t>
      </w:r>
      <w:proofErr w:type="gramStart"/>
      <w:r>
        <w:t xml:space="preserve">.  </w:t>
      </w:r>
      <w:proofErr w:type="gramEnd"/>
    </w:p>
    <w:p w:rsidR="00C5461D" w:rsidRDefault="00C5461D" w:rsidP="00C5461D">
      <w:r>
        <w:t xml:space="preserve">   - **Impact**: These tranches could experience spread volatility or principal impairment as managers struggle to maintain portfolio quality</w:t>
      </w:r>
      <w:proofErr w:type="gramStart"/>
      <w:r>
        <w:t xml:space="preserve">.  </w:t>
      </w:r>
      <w:proofErr w:type="gramEnd"/>
    </w:p>
    <w:p w:rsidR="00C5461D" w:rsidRDefault="00C5461D" w:rsidP="00C5461D"/>
    <w:p w:rsidR="00C5461D" w:rsidRDefault="00C5461D" w:rsidP="00C5461D">
      <w:r>
        <w:t xml:space="preserve">2. **Overvaluation in Office CMBS Senior Tranches**:  </w:t>
      </w:r>
    </w:p>
    <w:p w:rsidR="00C5461D" w:rsidRDefault="00C5461D" w:rsidP="00C5461D">
      <w:r>
        <w:lastRenderedPageBreak/>
        <w:t xml:space="preserve">   - Investors overestimate the safety of **AAA CMBS** backed by office CRE, failing to account for structural demand declines and higher refinancing costs</w:t>
      </w:r>
      <w:proofErr w:type="gramStart"/>
      <w:r>
        <w:t xml:space="preserve">.  </w:t>
      </w:r>
      <w:proofErr w:type="gramEnd"/>
    </w:p>
    <w:p w:rsidR="00C5461D" w:rsidRDefault="00C5461D" w:rsidP="00C5461D">
      <w:r>
        <w:t xml:space="preserve">   - **Impact**: A repricing event could ripple through CMBS markets, challenging assumptions about senior tranche stability</w:t>
      </w:r>
      <w:proofErr w:type="gramStart"/>
      <w:r>
        <w:t xml:space="preserve">.  </w:t>
      </w:r>
      <w:proofErr w:type="gramEnd"/>
    </w:p>
    <w:p w:rsidR="00C5461D" w:rsidRDefault="00C5461D" w:rsidP="00C5461D"/>
    <w:p w:rsidR="00C5461D" w:rsidRDefault="00C5461D" w:rsidP="00C5461D">
      <w:r>
        <w:t xml:space="preserve">3. **Hidden Resilience in Non-Agency RMBS**:  </w:t>
      </w:r>
    </w:p>
    <w:p w:rsidR="00C5461D" w:rsidRDefault="00C5461D" w:rsidP="00C5461D">
      <w:r>
        <w:t xml:space="preserve">   - Hybrid ARMs and seasoned CRTs are undervalued due to borrower equity strength and resilient home prices, despite emerging affordability stress</w:t>
      </w:r>
      <w:proofErr w:type="gramStart"/>
      <w:r>
        <w:t xml:space="preserve">.  </w:t>
      </w:r>
      <w:proofErr w:type="gramEnd"/>
    </w:p>
    <w:p w:rsidR="00C5461D" w:rsidRDefault="00C5461D" w:rsidP="00C5461D">
      <w:r>
        <w:t xml:space="preserve">   - **Impact**: These assets provide upside in a falling rate environment but remain vulnerable to macroeconomic shocks or rising unemployment</w:t>
      </w:r>
      <w:proofErr w:type="gramStart"/>
      <w:r>
        <w:t xml:space="preserve">.  </w:t>
      </w:r>
      <w:proofErr w:type="gramEnd"/>
    </w:p>
    <w:p w:rsidR="00C5461D" w:rsidRDefault="00C5461D" w:rsidP="00C5461D"/>
    <w:p w:rsidR="00C5461D" w:rsidRDefault="00C5461D" w:rsidP="00C5461D">
      <w:r>
        <w:t xml:space="preserve">4. **Aircraft ABS as an Overlooked Opportunity**:  </w:t>
      </w:r>
    </w:p>
    <w:p w:rsidR="00C5461D" w:rsidRDefault="00C5461D" w:rsidP="00C5461D">
      <w:r>
        <w:t xml:space="preserve">   - Post-pandemic travel recovery and constrained aircraft supply create strong lease dynamics for existing fleets, driving cash flow stability</w:t>
      </w:r>
      <w:proofErr w:type="gramStart"/>
      <w:r>
        <w:t xml:space="preserve">.  </w:t>
      </w:r>
      <w:proofErr w:type="gramEnd"/>
    </w:p>
    <w:p w:rsidR="00C5461D" w:rsidRDefault="00C5461D" w:rsidP="00C5461D">
      <w:r>
        <w:t xml:space="preserve">   - **Impact**: Aircraft ABS offers a compelling, uncorrelated yield opportunity for investors willing to manage sector-specific risks</w:t>
      </w:r>
      <w:proofErr w:type="gramStart"/>
      <w:r>
        <w:t xml:space="preserve">.  </w:t>
      </w:r>
      <w:proofErr w:type="gramEnd"/>
    </w:p>
    <w:p w:rsidR="00C5461D" w:rsidRDefault="00C5461D" w:rsidP="00C5461D"/>
    <w:p w:rsidR="00C5461D" w:rsidRDefault="00C5461D" w:rsidP="00C5461D">
      <w:r>
        <w:t xml:space="preserve">5. **Emerging Climate Risk Underpricing**:  </w:t>
      </w:r>
    </w:p>
    <w:p w:rsidR="00C5461D" w:rsidRDefault="00C5461D" w:rsidP="00C5461D">
      <w:r>
        <w:t xml:space="preserve">   - Localized climate risks (e.g., wildfires, hurricanes) remain underappreciated in structured credit analyses. Vulnerable geographies face significant valuation declines, particularly in RMBS and CMBS</w:t>
      </w:r>
      <w:proofErr w:type="gramStart"/>
      <w:r>
        <w:t xml:space="preserve">.  </w:t>
      </w:r>
      <w:proofErr w:type="gramEnd"/>
    </w:p>
    <w:p w:rsidR="00C5461D" w:rsidRDefault="00C5461D" w:rsidP="00C5461D">
      <w:r>
        <w:t xml:space="preserve">   - **Impact**: Default risks could increase unexpectedly in climate-exposed deals, leading to spread widening and investor repricing</w:t>
      </w:r>
      <w:proofErr w:type="gramStart"/>
      <w:r>
        <w:t xml:space="preserve">.  </w:t>
      </w:r>
      <w:proofErr w:type="gramEnd"/>
    </w:p>
    <w:p w:rsidR="00C5461D" w:rsidRDefault="00C5461D" w:rsidP="00C5461D"/>
    <w:p w:rsidR="00C5461D" w:rsidRDefault="00C5461D" w:rsidP="00C5461D">
      <w:r>
        <w:t>---</w:t>
      </w:r>
    </w:p>
    <w:p w:rsidR="00C5461D" w:rsidRDefault="00C5461D" w:rsidP="00C5461D"/>
    <w:p w:rsidR="00C5461D" w:rsidRDefault="00C5461D" w:rsidP="00C5461D">
      <w:r>
        <w:t xml:space="preserve">### Key Takeaways Summary  </w:t>
      </w:r>
    </w:p>
    <w:p w:rsidR="00C5461D" w:rsidRDefault="00C5461D" w:rsidP="00C5461D">
      <w:r>
        <w:t xml:space="preserve">This table synthesizes the **most actionable contrarian signals**, balancing context, supporting evidence, and impacts, allowing portfolio managers and risk teams to:  </w:t>
      </w:r>
    </w:p>
    <w:p w:rsidR="00C5461D" w:rsidRDefault="00C5461D" w:rsidP="00C5461D">
      <w:r>
        <w:t>- **Reassess high-risk exposures** (e.g., BB CLOs, office CMBS)</w:t>
      </w:r>
      <w:proofErr w:type="gramStart"/>
      <w:r>
        <w:t xml:space="preserve">.  </w:t>
      </w:r>
      <w:proofErr w:type="gramEnd"/>
    </w:p>
    <w:p w:rsidR="00C5461D" w:rsidRDefault="00C5461D" w:rsidP="00C5461D">
      <w:r>
        <w:t>- **Identify hidden opportunities** (e.g., aircraft ABS, non-agency RMBS)</w:t>
      </w:r>
      <w:proofErr w:type="gramStart"/>
      <w:r>
        <w:t xml:space="preserve">.  </w:t>
      </w:r>
      <w:proofErr w:type="gramEnd"/>
    </w:p>
    <w:p w:rsidR="00C5461D" w:rsidRDefault="00C5461D" w:rsidP="00C5461D">
      <w:r>
        <w:t>- **Prepare for underpriced tail risks** (e.g., climate-related defaults in RMBS/CMBS)</w:t>
      </w:r>
      <w:proofErr w:type="gramStart"/>
      <w:r>
        <w:t xml:space="preserve">.  </w:t>
      </w:r>
      <w:proofErr w:type="gramEnd"/>
    </w:p>
    <w:p w:rsidR="00405C77" w:rsidRPr="00C5461D" w:rsidRDefault="00405C77" w:rsidP="00C5461D"/>
    <w:sectPr w:rsidR="00405C77" w:rsidRPr="00C546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27F03B27-8D51-461B-81E1-07A2527A63D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18AB1C5-D8CB-4ECF-A376-A6C8C0B129D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3" w:fontKey="{2881004E-7811-45E3-8D62-C16DC68FE3E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E6B"/>
    <w:rsid w:val="00405C77"/>
    <w:rsid w:val="004C1D36"/>
    <w:rsid w:val="00562821"/>
    <w:rsid w:val="00A755BF"/>
    <w:rsid w:val="00C5461D"/>
    <w:rsid w:val="00D00BB4"/>
    <w:rsid w:val="00E24E6B"/>
    <w:rsid w:val="00E80743"/>
    <w:rsid w:val="00E81943"/>
    <w:rsid w:val="00EB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7151A"/>
  <w14:defaultImageDpi w14:val="32767"/>
  <w15:chartTrackingRefBased/>
  <w15:docId w15:val="{06BE08DB-C969-4DD8-B6B0-5D616A1D2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Theme="minorHAnsi" w:hAnsi="Cambria" w:cs="Arial"/>
        <w:color w:val="262626" w:themeColor="text1" w:themeTint="D9"/>
        <w:sz w:val="22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D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1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  <w:targetScreenSz w:val="1920x12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Feathered">
  <a:themeElements>
    <a:clrScheme name="Feathered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Feathered">
      <a:majorFont>
        <a:latin typeface="Century Schoolbook" panose="02040604050505020304"/>
        <a:ea typeface=""/>
        <a:cs typeface=""/>
        <a:font script="Jpan" typeface="メイリオ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eathered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ORION</dc:creator>
  <cp:keywords/>
  <dc:description/>
  <cp:lastModifiedBy>ORION</cp:lastModifiedBy>
  <cp:revision>2</cp:revision>
  <dcterms:created xsi:type="dcterms:W3CDTF">2024-12-17T04:09:00Z</dcterms:created>
  <dcterms:modified xsi:type="dcterms:W3CDTF">2024-12-17T04:09:00Z</dcterms:modified>
</cp:coreProperties>
</file>