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B7B5F" w:rsidRDefault="00EB7B5F" w:rsidP="00EB7B5F">
      <w:r>
        <w:t>### **Network Graph: Key Insights**</w:t>
      </w:r>
    </w:p>
    <w:p w:rsidR="00EB7B5F" w:rsidRDefault="00EB7B5F" w:rsidP="00EB7B5F"/>
    <w:p w:rsidR="00EB7B5F" w:rsidRDefault="00EB7B5F" w:rsidP="00EB7B5F">
      <w:r>
        <w:t>This graph incorporates nodes and interdependencies to reflect critical risks and opportunities within the credit and structured credit markets, specifically relevant to portfolio and risk managers. Key highlights:</w:t>
      </w:r>
    </w:p>
    <w:p w:rsidR="00EB7B5F" w:rsidRDefault="00EB7B5F" w:rsidP="00EB7B5F"/>
    <w:p w:rsidR="00EB7B5F" w:rsidRDefault="00EB7B5F" w:rsidP="00EB7B5F">
      <w:r>
        <w:t xml:space="preserve">1. **Central Systemic Risks**:  </w:t>
      </w:r>
    </w:p>
    <w:p w:rsidR="00EB7B5F" w:rsidRDefault="00EB7B5F" w:rsidP="00EB7B5F">
      <w:r>
        <w:t xml:space="preserve">   - **Regional Banks**: Face refinancing exposure to **CMBS Office** while also under pressure from **Climate Stress Testing**, exacerbating CRE vulnerabilities</w:t>
      </w:r>
      <w:proofErr w:type="gramStart"/>
      <w:r>
        <w:t xml:space="preserve">.  </w:t>
      </w:r>
      <w:proofErr w:type="gramEnd"/>
    </w:p>
    <w:p w:rsidR="00EB7B5F" w:rsidRDefault="00EB7B5F" w:rsidP="00EB7B5F">
      <w:r>
        <w:t xml:space="preserve">   - **CLO BB**: Highly sensitive to both **Private Credit Funds** (loan supply) and rising **Leveraged Loan Refinancing** risks, reflecting heightened credit risk.</w:t>
      </w:r>
    </w:p>
    <w:p w:rsidR="00EB7B5F" w:rsidRDefault="00EB7B5F" w:rsidP="00EB7B5F"/>
    <w:p w:rsidR="00EB7B5F" w:rsidRDefault="00EB7B5F" w:rsidP="00EB7B5F">
      <w:r>
        <w:t xml:space="preserve">2. **Policy Interconnections**:  </w:t>
      </w:r>
    </w:p>
    <w:p w:rsidR="00EB7B5F" w:rsidRDefault="00EB7B5F" w:rsidP="00EB7B5F">
      <w:r>
        <w:t xml:space="preserve">   - **Fed Policy**: Drives refinancing stress for leveraged loans, directly impacting **CLO BB** tranches</w:t>
      </w:r>
      <w:proofErr w:type="gramStart"/>
      <w:r>
        <w:t xml:space="preserve">.  </w:t>
      </w:r>
      <w:proofErr w:type="gramEnd"/>
    </w:p>
    <w:p w:rsidR="00EB7B5F" w:rsidRDefault="00EB7B5F" w:rsidP="00EB7B5F">
      <w:r>
        <w:t xml:space="preserve">   - **ESG Regulations**: Act as a **regulatory driver** for green securitizations while creating **compliance costs** for insurers</w:t>
      </w:r>
      <w:proofErr w:type="gramStart"/>
      <w:r>
        <w:t xml:space="preserve">.  </w:t>
      </w:r>
      <w:proofErr w:type="gramEnd"/>
    </w:p>
    <w:p w:rsidR="00EB7B5F" w:rsidRDefault="00EB7B5F" w:rsidP="00EB7B5F"/>
    <w:p w:rsidR="00EB7B5F" w:rsidRDefault="00EB7B5F" w:rsidP="00EB7B5F">
      <w:r>
        <w:t xml:space="preserve">3. **Positive Assets Amid Negative Trends**:  </w:t>
      </w:r>
    </w:p>
    <w:p w:rsidR="00EB7B5F" w:rsidRDefault="00EB7B5F" w:rsidP="00EB7B5F">
      <w:r>
        <w:t xml:space="preserve">   - **CMBS Industrial**: Benefits from strong cash flows, making it a favored asset class for **banks** despite broader CMBS stress</w:t>
      </w:r>
      <w:proofErr w:type="gramStart"/>
      <w:r>
        <w:t xml:space="preserve">.  </w:t>
      </w:r>
      <w:proofErr w:type="gramEnd"/>
    </w:p>
    <w:p w:rsidR="00EB7B5F" w:rsidRDefault="00EB7B5F" w:rsidP="00EB7B5F">
      <w:r>
        <w:t xml:space="preserve">   - **Green Securitizations**: Grow due to regulatory tailwinds from **ESG Regulations**, creating opportunities for diversification.</w:t>
      </w:r>
    </w:p>
    <w:p w:rsidR="00EB7B5F" w:rsidRDefault="00EB7B5F" w:rsidP="00EB7B5F"/>
    <w:p w:rsidR="00EB7B5F" w:rsidRDefault="00EB7B5F" w:rsidP="00EB7B5F">
      <w:r>
        <w:t xml:space="preserve">4. **Subprime RMBS Risks**:  </w:t>
      </w:r>
    </w:p>
    <w:p w:rsidR="00EB7B5F" w:rsidRDefault="00EB7B5F" w:rsidP="00EB7B5F">
      <w:r>
        <w:t xml:space="preserve">   - **Insurance Companies**: Hold significant exposure to **Subprime RMBS**, making them vulnerable to rising delinquencies, particularly in a slowing economy.</w:t>
      </w:r>
    </w:p>
    <w:p w:rsidR="00EB7B5F" w:rsidRDefault="00EB7B5F" w:rsidP="00EB7B5F"/>
    <w:p w:rsidR="00405C77" w:rsidRPr="00D00BB4" w:rsidRDefault="00EB7B5F" w:rsidP="00EB7B5F">
      <w:r>
        <w:t>This expanded graph provides a clear, actionable map of **systemic risks, emerging opportunities, and policy impacts** across interconnected credit markets. It emphasizes how structural stress in **CRE**, **CLO BB**, and **subprime RMBS** can propagate through banks, insurers, and private credit funds, while policy shifts like ESG regulations create new opportunities for green securitizations.</w:t>
      </w:r>
    </w:p>
    <w:sectPr w:rsidR="00405C77" w:rsidRPr="00D00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14DBEB8-6A4E-4438-8158-63E3F36833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BCFC30-B900-4853-8184-742C85B9A3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71A7D83B-7F03-45A7-9FDE-04C5C65918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6B"/>
    <w:rsid w:val="00405C77"/>
    <w:rsid w:val="004C1D36"/>
    <w:rsid w:val="00562821"/>
    <w:rsid w:val="00A755BF"/>
    <w:rsid w:val="00D00BB4"/>
    <w:rsid w:val="00E24E6B"/>
    <w:rsid w:val="00E80743"/>
    <w:rsid w:val="00E81943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151A"/>
  <w14:defaultImageDpi w14:val="32767"/>
  <w15:chartTrackingRefBased/>
  <w15:docId w15:val="{06BE08DB-C969-4DD8-B6B0-5D616A1D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Arial"/>
        <w:color w:val="262626" w:themeColor="text1" w:themeTint="D9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</dc:creator>
  <cp:keywords/>
  <dc:description/>
  <cp:lastModifiedBy>ORION</cp:lastModifiedBy>
  <cp:revision>2</cp:revision>
  <dcterms:created xsi:type="dcterms:W3CDTF">2024-12-17T03:57:00Z</dcterms:created>
  <dcterms:modified xsi:type="dcterms:W3CDTF">2024-12-17T03:57:00Z</dcterms:modified>
</cp:coreProperties>
</file>