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F4A" w:val="clear"/>
            <w:tcMar>
              <w:top w:type="dxa" w:w="300"/>
              <w:left w:type="dxa" w:w="300"/>
              <w:bottom w:type="dxa" w:w="300"/>
              <w:right w:type="dxa" w:w="300"/>
            </w:tcMar>
          </w:tcPr>
          <w:p>
            <w:pPr>
              <w:jc w:val="center"/>
            </w:pPr>
            <w:r>
              <w:rPr>
                <w:rFonts w:ascii="Arial" w:cs="Arial" w:eastAsia="Arial" w:hAnsi="Arial"/>
                <w:b/>
                <w:bCs/>
                <w:color w:val="AED6F1"/>
                <w:sz w:val="36"/>
                <w:szCs w:val="36"/>
              </w:rPr>
              <w:t xml:space="preserve">ADVISOR MEETING PREPARATION</w:t>
            </w:r>
          </w:p>
          <w:p>
            <w:pPr>
              <w:jc w:val="center"/>
            </w:pPr>
            <w:r>
              <w:rPr>
                <w:rFonts w:ascii="Arial" w:cs="Arial" w:eastAsia="Arial" w:hAnsi="Arial"/>
                <w:i/>
                <w:iCs/>
                <w:color w:val="FFFFFF"/>
                <w:sz w:val="26"/>
                <w:szCs w:val="26"/>
              </w:rPr>
              <w:t xml:space="preserve">Social-Zone Nav: Learning Asymmetric Social Zones for Robot Navigation</w:t>
            </w:r>
          </w:p>
          <w:p>
            <w:pPr>
              <w:jc w:val="center"/>
            </w:pPr>
            <w:r>
              <w:rPr>
                <w:rFonts w:ascii="Arial" w:cs="Arial" w:eastAsia="Arial" w:hAnsi="Arial"/>
                <w:color w:val="BDC3C7"/>
                <w:sz w:val="22"/>
                <w:szCs w:val="22"/>
              </w:rPr>
              <w:t xml:space="preserve">Jai Mali  |  AI &amp; ML</w:t>
            </w:r>
          </w:p>
        </w:tc>
      </w:tr>
    </w:tbl>
    <w:p>
      <w:pPr>
        <w:spacing w:before="0" w:after="0"/>
      </w:pPr>
      <w:r>
        <w:t xml:space="preserve"/>
      </w:r>
    </w:p>
    <w:p>
      <w:pPr>
        <w:spacing w:before="0" w:after="120"/>
      </w:pPr>
      <w:r>
        <w:rPr>
          <w:rFonts w:ascii="Arial" w:cs="Arial" w:eastAsia="Arial" w:hAnsi="Arial"/>
          <w:i/>
          <w:iCs/>
          <w:color w:val="444444"/>
          <w:sz w:val="20"/>
          <w:szCs w:val="20"/>
        </w:rPr>
        <w:t xml:space="preserve">This document provides comprehensive Q&amp;A preparation for your advisor meeting, covering all fundamental questions about methodology, data, results, and significance. Each answer includes supporting citations.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60"/>
              <w:left w:type="dxa" w:w="200"/>
              <w:bottom w:type="dxa" w:w="160"/>
              <w:right w:type="dxa" w:w="200"/>
            </w:tcMar>
          </w:tcPr>
          <w:p>
            <w:r>
              <w:rPr>
                <w:rFonts w:ascii="Arial" w:cs="Arial" w:eastAsia="Arial" w:hAnsi="Arial"/>
                <w:b/>
                <w:bCs/>
                <w:color w:val="FFFFFF"/>
                <w:sz w:val="28"/>
                <w:szCs w:val="28"/>
              </w:rPr>
              <w:t xml:space="preserve">CATEGORY 1: MOTIVATION &amp; PROBLEM STATEMENT</w:t>
            </w:r>
          </w:p>
          <w:p>
            <w:r>
              <w:rPr>
                <w:rFonts w:ascii="Arial" w:cs="Arial" w:eastAsia="Arial" w:hAnsi="Arial"/>
                <w:i/>
                <w:iCs/>
                <w:color w:val="BDC3C7"/>
                <w:sz w:val="20"/>
                <w:szCs w:val="20"/>
              </w:rPr>
              <w:t xml:space="preserve">Why this problem matters and what you set out to solve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tblCellMar>
      </w:tblPr>
      <w:tblGrid>
        <w:gridCol w:w="560"/>
        <w:gridCol w:w="8800"/>
      </w:tblGrid>
      <w:tr>
        <w:tc>
          <w:tcPr>
            <w:tcW w:type="dxa" w:w="560"/>
            <w:tcBorders>
              <w:top w:val="none" w:color="FFFFFF" w:sz="0"/>
              <w:left w:val="none" w:color="FFFFFF" w:sz="0"/>
              <w:bottom w:val="none" w:color="FFFFFF" w:sz="0"/>
              <w:right w:val="none" w:color="FFFFFF" w:sz="0"/>
            </w:tcBorders>
            <w:shd w:fill="AED6F1" w:val="clear"/>
            <w:tcMar>
              <w:top w:type="dxa" w:w="80"/>
              <w:left w:type="dxa" w:w="160"/>
              <w:bottom w:type="dxa" w:w="80"/>
              <w:right w:type="dxa" w:w="80"/>
            </w:tcMar>
          </w:tcPr>
          <w:p>
            <w:pPr>
              <w:jc w:val="center"/>
            </w:pPr>
            <w:r>
              <w:rPr>
                <w:rFonts w:ascii="Arial" w:cs="Arial" w:eastAsia="Arial" w:hAnsi="Arial"/>
                <w:b/>
                <w:bCs/>
                <w:color w:val="FFFFFF"/>
                <w:sz w:val="22"/>
                <w:szCs w:val="22"/>
              </w:rPr>
              <w:t xml:space="preserve">Q1</w:t>
            </w:r>
          </w:p>
        </w:tc>
        <w:tc>
          <w:tcPr>
            <w:tcW w:type="dxa" w:w="8800"/>
            <w:tcBorders>
              <w:top w:val="none" w:color="FFFFFF" w:sz="0"/>
              <w:left w:val="none" w:color="FFFFFF" w:sz="0"/>
              <w:bottom w:val="none" w:color="FFFFFF" w:sz="0"/>
              <w:right w:val="none" w:color="FFFFFF" w:sz="0"/>
            </w:tcBorders>
            <w:shd w:fill="D6E4F0" w:val="clear"/>
            <w:tcMar>
              <w:top w:type="dxa" w:w="100"/>
              <w:left w:type="dxa" w:w="160"/>
              <w:bottom w:type="dxa" w:w="100"/>
              <w:right w:type="dxa" w:w="160"/>
            </w:tcMar>
          </w:tcPr>
          <w:p>
            <w:r>
              <w:rPr>
                <w:rFonts w:ascii="Arial" w:cs="Arial" w:eastAsia="Arial" w:hAnsi="Arial"/>
                <w:b/>
                <w:bCs/>
                <w:color w:val="1F4E79"/>
                <w:sz w:val="22"/>
                <w:szCs w:val="22"/>
              </w:rPr>
              <w:t xml:space="preserve">What problem are you actually solving? Why isn't circular personal space good enough?</w:t>
            </w:r>
          </w:p>
        </w:tc>
      </w:tr>
      <w:tr>
        <w:tc>
          <w:tcPr>
            <w:tcW w:type="dxa" w:w="560"/>
            <w:tcBorders>
              <w:top w:val="none" w:color="FFFFFF" w:sz="0"/>
              <w:left w:val="none" w:color="FFFFFF" w:sz="0"/>
              <w:bottom w:val="none" w:color="FFFFFF" w:sz="0"/>
              <w:right w:val="none" w:color="FFFFFF" w:sz="0"/>
            </w:tcBorders>
            <w:shd w:fill="E8F4FD" w:val="clear"/>
            <w:tcMar>
              <w:top w:type="dxa" w:w="80"/>
              <w:left w:type="dxa" w:w="160"/>
              <w:bottom w:type="dxa" w:w="80"/>
              <w:right w:type="dxa" w:w="80"/>
            </w:tcMar>
          </w:tcPr>
          <w:p>
            <w:pPr>
              <w:jc w:val="center"/>
            </w:pPr>
            <w:r>
              <w:rPr>
                <w:rFonts w:ascii="Arial" w:cs="Arial" w:eastAsia="Arial" w:hAnsi="Arial"/>
                <w:b/>
                <w:bCs/>
                <w:color w:val="2E75B6"/>
                <w:sz w:val="22"/>
                <w:szCs w:val="22"/>
              </w:rPr>
              <w:t xml:space="preserve">A</w:t>
            </w:r>
          </w:p>
        </w:tc>
        <w:tc>
          <w:tcPr>
            <w:tcW w:type="dxa" w:w="8800"/>
            <w:tcBorders>
              <w:top w:val="none" w:color="FFFFFF" w:sz="0"/>
              <w:left w:val="none" w:color="FFFFFF" w:sz="0"/>
              <w:bottom w:val="none" w:color="FFFFFF" w:sz="0"/>
              <w:right w:val="none" w:color="FFFFFF" w:sz="0"/>
            </w:tcBorders>
            <w:shd w:fill="E8F4FD" w:val="clear"/>
            <w:tcMar>
              <w:top w:type="dxa" w:w="100"/>
              <w:left w:type="dxa" w:w="160"/>
              <w:bottom w:type="dxa" w:w="100"/>
              <w:right w:type="dxa" w:w="160"/>
            </w:tcMar>
          </w:tcPr>
          <w:p>
            <w:r>
              <w:rPr>
                <w:rFonts w:ascii="Arial" w:cs="Arial" w:eastAsia="Arial" w:hAnsi="Arial"/>
                <w:color w:val="333333"/>
                <w:sz w:val="20"/>
                <w:szCs w:val="20"/>
              </w:rPr>
              <w:t xml:space="preserve">Current robot navigation systems model human personal space as a perfect circle — the same clearance in every direction. But real pedestrian data shows this is wrong. Humans tolerate people much closer from behind (~0.41m) than from the front (~0.44m raw, but contextually they need much more space in front to see, react, and feel comfortable). A circular model either wastes path space by over-protecting from the back, or under-protects from the front. My project extracts the real shape of this asymmetry from data and uses it to plan better paths.</w:t>
            </w:r>
          </w:p>
        </w:tc>
      </w:tr>
      <w:tr>
        <w:tc>
          <w:tcPr>
            <w:tcW w:type="dxa" w:w="560"/>
            <w:tcBorders>
              <w:top w:val="none" w:color="FFFFFF" w:sz="0"/>
              <w:left w:val="none" w:color="FFFFFF" w:sz="0"/>
              <w:bottom w:val="none" w:color="FFFFFF" w:sz="0"/>
              <w:right w:val="none" w:color="FFFFFF" w:sz="0"/>
            </w:tcBorders>
            <w:shd w:fill="F5F5F5" w:val="clear"/>
            <w:tcMar>
              <w:top w:type="dxa" w:w="60"/>
              <w:left w:type="dxa" w:w="160"/>
              <w:bottom w:type="dxa" w:w="60"/>
              <w:right w:type="dxa" w:w="80"/>
            </w:tcMar>
          </w:tcPr>
          <w:p>
            <w:r>
              <w:rPr>
                <w:rFonts w:ascii="Arial" w:cs="Arial" w:eastAsia="Arial" w:hAnsi="Arial"/>
                <w:sz w:val="18"/>
                <w:szCs w:val="18"/>
              </w:rPr>
              <w:t xml:space="preserve">📚</w:t>
            </w:r>
          </w:p>
        </w:tc>
        <w:tc>
          <w:tcPr>
            <w:tcW w:type="dxa" w:w="8800"/>
            <w:tcBorders>
              <w:top w:val="dashed"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i/>
                <w:iCs/>
                <w:color w:val="555555"/>
                <w:sz w:val="18"/>
                <w:szCs w:val="18"/>
              </w:rPr>
              <w:t xml:space="preserve">Source(s): Hall (1966) The Hidden Dimension — defines proxemics zones; Kendon (1990) Conducting Interaction — front-zone (F-formation) sensitivity; Kruse et al. (2013) Human-aware robot navigation survey — motivates why circular models dominate but are insufficient.</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tblCellMar>
      </w:tblPr>
      <w:tblGrid>
        <w:gridCol w:w="560"/>
        <w:gridCol w:w="8800"/>
      </w:tblGrid>
      <w:tr>
        <w:tc>
          <w:tcPr>
            <w:tcW w:type="dxa" w:w="560"/>
            <w:tcBorders>
              <w:top w:val="none" w:color="FFFFFF" w:sz="0"/>
              <w:left w:val="none" w:color="FFFFFF" w:sz="0"/>
              <w:bottom w:val="none" w:color="FFFFFF" w:sz="0"/>
              <w:right w:val="none" w:color="FFFFFF" w:sz="0"/>
            </w:tcBorders>
            <w:shd w:fill="AED6F1" w:val="clear"/>
            <w:tcMar>
              <w:top w:type="dxa" w:w="80"/>
              <w:left w:type="dxa" w:w="160"/>
              <w:bottom w:type="dxa" w:w="80"/>
              <w:right w:type="dxa" w:w="80"/>
            </w:tcMar>
          </w:tcPr>
          <w:p>
            <w:pPr>
              <w:jc w:val="center"/>
            </w:pPr>
            <w:r>
              <w:rPr>
                <w:rFonts w:ascii="Arial" w:cs="Arial" w:eastAsia="Arial" w:hAnsi="Arial"/>
                <w:b/>
                <w:bCs/>
                <w:color w:val="FFFFFF"/>
                <w:sz w:val="22"/>
                <w:szCs w:val="22"/>
              </w:rPr>
              <w:t xml:space="preserve">Q2</w:t>
            </w:r>
          </w:p>
        </w:tc>
        <w:tc>
          <w:tcPr>
            <w:tcW w:type="dxa" w:w="8800"/>
            <w:tcBorders>
              <w:top w:val="none" w:color="FFFFFF" w:sz="0"/>
              <w:left w:val="none" w:color="FFFFFF" w:sz="0"/>
              <w:bottom w:val="none" w:color="FFFFFF" w:sz="0"/>
              <w:right w:val="none" w:color="FFFFFF" w:sz="0"/>
            </w:tcBorders>
            <w:shd w:fill="D6E4F0" w:val="clear"/>
            <w:tcMar>
              <w:top w:type="dxa" w:w="100"/>
              <w:left w:type="dxa" w:w="160"/>
              <w:bottom w:type="dxa" w:w="100"/>
              <w:right w:type="dxa" w:w="160"/>
            </w:tcMar>
          </w:tcPr>
          <w:p>
            <w:r>
              <w:rPr>
                <w:rFonts w:ascii="Arial" w:cs="Arial" w:eastAsia="Arial" w:hAnsi="Arial"/>
                <w:b/>
                <w:bCs/>
                <w:color w:val="1F4E79"/>
                <w:sz w:val="22"/>
                <w:szCs w:val="22"/>
              </w:rPr>
              <w:t xml:space="preserve">Why do humans need more space in front than behind?</w:t>
            </w:r>
          </w:p>
        </w:tc>
      </w:tr>
      <w:tr>
        <w:tc>
          <w:tcPr>
            <w:tcW w:type="dxa" w:w="560"/>
            <w:tcBorders>
              <w:top w:val="none" w:color="FFFFFF" w:sz="0"/>
              <w:left w:val="none" w:color="FFFFFF" w:sz="0"/>
              <w:bottom w:val="none" w:color="FFFFFF" w:sz="0"/>
              <w:right w:val="none" w:color="FFFFFF" w:sz="0"/>
            </w:tcBorders>
            <w:shd w:fill="E8F4FD" w:val="clear"/>
            <w:tcMar>
              <w:top w:type="dxa" w:w="80"/>
              <w:left w:type="dxa" w:w="160"/>
              <w:bottom w:type="dxa" w:w="80"/>
              <w:right w:type="dxa" w:w="80"/>
            </w:tcMar>
          </w:tcPr>
          <w:p>
            <w:pPr>
              <w:jc w:val="center"/>
            </w:pPr>
            <w:r>
              <w:rPr>
                <w:rFonts w:ascii="Arial" w:cs="Arial" w:eastAsia="Arial" w:hAnsi="Arial"/>
                <w:b/>
                <w:bCs/>
                <w:color w:val="2E75B6"/>
                <w:sz w:val="22"/>
                <w:szCs w:val="22"/>
              </w:rPr>
              <w:t xml:space="preserve">A</w:t>
            </w:r>
          </w:p>
        </w:tc>
        <w:tc>
          <w:tcPr>
            <w:tcW w:type="dxa" w:w="8800"/>
            <w:tcBorders>
              <w:top w:val="none" w:color="FFFFFF" w:sz="0"/>
              <w:left w:val="none" w:color="FFFFFF" w:sz="0"/>
              <w:bottom w:val="none" w:color="FFFFFF" w:sz="0"/>
              <w:right w:val="none" w:color="FFFFFF" w:sz="0"/>
            </w:tcBorders>
            <w:shd w:fill="E8F4FD" w:val="clear"/>
            <w:tcMar>
              <w:top w:type="dxa" w:w="100"/>
              <w:left w:type="dxa" w:w="160"/>
              <w:bottom w:type="dxa" w:w="100"/>
              <w:right w:type="dxa" w:w="160"/>
            </w:tcMar>
          </w:tcPr>
          <w:p>
            <w:r>
              <w:rPr>
                <w:rFonts w:ascii="Arial" w:cs="Arial" w:eastAsia="Arial" w:hAnsi="Arial"/>
                <w:color w:val="333333"/>
                <w:sz w:val="20"/>
                <w:szCs w:val="20"/>
              </w:rPr>
              <w:t xml:space="preserve">It comes down to perception and reaction. Humans face forward — our vision, attention, and ability to react are all oriented frontward. When someone approaches from the front, we see them coming, feel exposed, and need time and space to respond. From behind, we are less perceptually sensitive and tend to tolerate close proximity naturally (think of queuing). Hall (1966) documented this as the directional structure of personal space, and Kendon (1990) formalised the 'F-formation' — the spatial arrangement people create when interacting face-to-face, which requires a clear front zone.</w:t>
            </w:r>
          </w:p>
        </w:tc>
      </w:tr>
      <w:tr>
        <w:tc>
          <w:tcPr>
            <w:tcW w:type="dxa" w:w="560"/>
            <w:tcBorders>
              <w:top w:val="none" w:color="FFFFFF" w:sz="0"/>
              <w:left w:val="none" w:color="FFFFFF" w:sz="0"/>
              <w:bottom w:val="none" w:color="FFFFFF" w:sz="0"/>
              <w:right w:val="none" w:color="FFFFFF" w:sz="0"/>
            </w:tcBorders>
            <w:shd w:fill="F5F5F5" w:val="clear"/>
            <w:tcMar>
              <w:top w:type="dxa" w:w="60"/>
              <w:left w:type="dxa" w:w="160"/>
              <w:bottom w:type="dxa" w:w="60"/>
              <w:right w:type="dxa" w:w="80"/>
            </w:tcMar>
          </w:tcPr>
          <w:p>
            <w:r>
              <w:rPr>
                <w:rFonts w:ascii="Arial" w:cs="Arial" w:eastAsia="Arial" w:hAnsi="Arial"/>
                <w:sz w:val="18"/>
                <w:szCs w:val="18"/>
              </w:rPr>
              <w:t xml:space="preserve">📚</w:t>
            </w:r>
          </w:p>
        </w:tc>
        <w:tc>
          <w:tcPr>
            <w:tcW w:type="dxa" w:w="8800"/>
            <w:tcBorders>
              <w:top w:val="dashed"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i/>
                <w:iCs/>
                <w:color w:val="555555"/>
                <w:sz w:val="18"/>
                <w:szCs w:val="18"/>
              </w:rPr>
              <w:t xml:space="preserve">Source(s): Hall, E.T. (1966) The Hidden Dimension — original personal space zone theory; Kendon, A. (1990) Conducting Interaction — F-formation and front-zone directionality.</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tblCellMar>
      </w:tblPr>
      <w:tblGrid>
        <w:gridCol w:w="560"/>
        <w:gridCol w:w="8800"/>
      </w:tblGrid>
      <w:tr>
        <w:tc>
          <w:tcPr>
            <w:tcW w:type="dxa" w:w="560"/>
            <w:tcBorders>
              <w:top w:val="none" w:color="FFFFFF" w:sz="0"/>
              <w:left w:val="none" w:color="FFFFFF" w:sz="0"/>
              <w:bottom w:val="none" w:color="FFFFFF" w:sz="0"/>
              <w:right w:val="none" w:color="FFFFFF" w:sz="0"/>
            </w:tcBorders>
            <w:shd w:fill="AED6F1" w:val="clear"/>
            <w:tcMar>
              <w:top w:type="dxa" w:w="80"/>
              <w:left w:type="dxa" w:w="160"/>
              <w:bottom w:type="dxa" w:w="80"/>
              <w:right w:type="dxa" w:w="80"/>
            </w:tcMar>
          </w:tcPr>
          <w:p>
            <w:pPr>
              <w:jc w:val="center"/>
            </w:pPr>
            <w:r>
              <w:rPr>
                <w:rFonts w:ascii="Arial" w:cs="Arial" w:eastAsia="Arial" w:hAnsi="Arial"/>
                <w:b/>
                <w:bCs/>
                <w:color w:val="FFFFFF"/>
                <w:sz w:val="22"/>
                <w:szCs w:val="22"/>
              </w:rPr>
              <w:t xml:space="preserve">Q3</w:t>
            </w:r>
          </w:p>
        </w:tc>
        <w:tc>
          <w:tcPr>
            <w:tcW w:type="dxa" w:w="8800"/>
            <w:tcBorders>
              <w:top w:val="none" w:color="FFFFFF" w:sz="0"/>
              <w:left w:val="none" w:color="FFFFFF" w:sz="0"/>
              <w:bottom w:val="none" w:color="FFFFFF" w:sz="0"/>
              <w:right w:val="none" w:color="FFFFFF" w:sz="0"/>
            </w:tcBorders>
            <w:shd w:fill="D6E4F0" w:val="clear"/>
            <w:tcMar>
              <w:top w:type="dxa" w:w="100"/>
              <w:left w:type="dxa" w:w="160"/>
              <w:bottom w:type="dxa" w:w="100"/>
              <w:right w:type="dxa" w:w="160"/>
            </w:tcMar>
          </w:tcPr>
          <w:p>
            <w:r>
              <w:rPr>
                <w:rFonts w:ascii="Arial" w:cs="Arial" w:eastAsia="Arial" w:hAnsi="Arial"/>
                <w:b/>
                <w:bCs/>
                <w:color w:val="1F4E79"/>
                <w:sz w:val="22"/>
                <w:szCs w:val="22"/>
              </w:rPr>
              <w:t xml:space="preserve">Has anyone done this before — used asymmetric zones for robot navigation?</w:t>
            </w:r>
          </w:p>
        </w:tc>
      </w:tr>
      <w:tr>
        <w:tc>
          <w:tcPr>
            <w:tcW w:type="dxa" w:w="560"/>
            <w:tcBorders>
              <w:top w:val="none" w:color="FFFFFF" w:sz="0"/>
              <w:left w:val="none" w:color="FFFFFF" w:sz="0"/>
              <w:bottom w:val="none" w:color="FFFFFF" w:sz="0"/>
              <w:right w:val="none" w:color="FFFFFF" w:sz="0"/>
            </w:tcBorders>
            <w:shd w:fill="E8F4FD" w:val="clear"/>
            <w:tcMar>
              <w:top w:type="dxa" w:w="80"/>
              <w:left w:type="dxa" w:w="160"/>
              <w:bottom w:type="dxa" w:w="80"/>
              <w:right w:type="dxa" w:w="80"/>
            </w:tcMar>
          </w:tcPr>
          <w:p>
            <w:pPr>
              <w:jc w:val="center"/>
            </w:pPr>
            <w:r>
              <w:rPr>
                <w:rFonts w:ascii="Arial" w:cs="Arial" w:eastAsia="Arial" w:hAnsi="Arial"/>
                <w:b/>
                <w:bCs/>
                <w:color w:val="2E75B6"/>
                <w:sz w:val="22"/>
                <w:szCs w:val="22"/>
              </w:rPr>
              <w:t xml:space="preserve">A</w:t>
            </w:r>
          </w:p>
        </w:tc>
        <w:tc>
          <w:tcPr>
            <w:tcW w:type="dxa" w:w="8800"/>
            <w:tcBorders>
              <w:top w:val="none" w:color="FFFFFF" w:sz="0"/>
              <w:left w:val="none" w:color="FFFFFF" w:sz="0"/>
              <w:bottom w:val="none" w:color="FFFFFF" w:sz="0"/>
              <w:right w:val="none" w:color="FFFFFF" w:sz="0"/>
            </w:tcBorders>
            <w:shd w:fill="E8F4FD" w:val="clear"/>
            <w:tcMar>
              <w:top w:type="dxa" w:w="100"/>
              <w:left w:type="dxa" w:w="160"/>
              <w:bottom w:type="dxa" w:w="100"/>
              <w:right w:type="dxa" w:w="160"/>
            </w:tcMar>
          </w:tcPr>
          <w:p>
            <w:r>
              <w:rPr>
                <w:rFonts w:ascii="Arial" w:cs="Arial" w:eastAsia="Arial" w:hAnsi="Arial"/>
                <w:color w:val="333333"/>
                <w:sz w:val="20"/>
                <w:szCs w:val="20"/>
              </w:rPr>
              <w:t xml:space="preserve">Prior work has acknowledged that personal space is not circular, but few systems actually implement direction-dependent zones extracted from real data. Truong &amp; Ngo (2017) validate asymmetric zones on ETH/UCY data, which is the closest related work. Sisbot et al. (2007) use cost-function planners but with symmetric models. My contribution is the first systematic extraction of per-direction distances from the full ETH/UCY corpus (443,074 agent pairs) and their integration into an A* planner with a validated asymmetric cost function.</w:t>
            </w:r>
          </w:p>
        </w:tc>
      </w:tr>
      <w:tr>
        <w:tc>
          <w:tcPr>
            <w:tcW w:type="dxa" w:w="560"/>
            <w:tcBorders>
              <w:top w:val="none" w:color="FFFFFF" w:sz="0"/>
              <w:left w:val="none" w:color="FFFFFF" w:sz="0"/>
              <w:bottom w:val="none" w:color="FFFFFF" w:sz="0"/>
              <w:right w:val="none" w:color="FFFFFF" w:sz="0"/>
            </w:tcBorders>
            <w:shd w:fill="F5F5F5" w:val="clear"/>
            <w:tcMar>
              <w:top w:type="dxa" w:w="60"/>
              <w:left w:type="dxa" w:w="160"/>
              <w:bottom w:type="dxa" w:w="60"/>
              <w:right w:type="dxa" w:w="80"/>
            </w:tcMar>
          </w:tcPr>
          <w:p>
            <w:r>
              <w:rPr>
                <w:rFonts w:ascii="Arial" w:cs="Arial" w:eastAsia="Arial" w:hAnsi="Arial"/>
                <w:sz w:val="18"/>
                <w:szCs w:val="18"/>
              </w:rPr>
              <w:t xml:space="preserve">📚</w:t>
            </w:r>
          </w:p>
        </w:tc>
        <w:tc>
          <w:tcPr>
            <w:tcW w:type="dxa" w:w="8800"/>
            <w:tcBorders>
              <w:top w:val="dashed"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i/>
                <w:iCs/>
                <w:color w:val="555555"/>
                <w:sz w:val="18"/>
                <w:szCs w:val="18"/>
              </w:rPr>
              <w:t xml:space="preserve">Source(s): Truong &amp; Ngo (2017) IEEE T-ASE — asymmetric zone validation on ETH/UCY; Sisbot et al. (2007) IEEE T-RO — cost-function navigation planner; Kruse et al. (2013) — survey of prior approaches.</w:t>
            </w:r>
          </w:p>
        </w:tc>
      </w:tr>
    </w:tbl>
    <w:p>
      <w:pPr>
        <w:spacing w:before="0" w:after="0"/>
      </w:pPr>
      <w:r>
        <w:t xml:space="preserve"/>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60"/>
              <w:left w:type="dxa" w:w="200"/>
              <w:bottom w:type="dxa" w:w="160"/>
              <w:right w:type="dxa" w:w="200"/>
            </w:tcMar>
          </w:tcPr>
          <w:p>
            <w:r>
              <w:rPr>
                <w:rFonts w:ascii="Arial" w:cs="Arial" w:eastAsia="Arial" w:hAnsi="Arial"/>
                <w:b/>
                <w:bCs/>
                <w:color w:val="FFFFFF"/>
                <w:sz w:val="28"/>
                <w:szCs w:val="28"/>
              </w:rPr>
              <w:t xml:space="preserve">CATEGORY 2: DATASET &amp; DATA COLLECTION</w:t>
            </w:r>
          </w:p>
          <w:p>
            <w:r>
              <w:rPr>
                <w:rFonts w:ascii="Arial" w:cs="Arial" w:eastAsia="Arial" w:hAnsi="Arial"/>
                <w:i/>
                <w:iCs/>
                <w:color w:val="BDC3C7"/>
                <w:sz w:val="20"/>
                <w:szCs w:val="20"/>
              </w:rPr>
              <w:t xml:space="preserve">Where the data comes from and why it is trustworthy</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tblCellMar>
      </w:tblPr>
      <w:tblGrid>
        <w:gridCol w:w="560"/>
        <w:gridCol w:w="8800"/>
      </w:tblGrid>
      <w:tr>
        <w:tc>
          <w:tcPr>
            <w:tcW w:type="dxa" w:w="560"/>
            <w:tcBorders>
              <w:top w:val="none" w:color="FFFFFF" w:sz="0"/>
              <w:left w:val="none" w:color="FFFFFF" w:sz="0"/>
              <w:bottom w:val="none" w:color="FFFFFF" w:sz="0"/>
              <w:right w:val="none" w:color="FFFFFF" w:sz="0"/>
            </w:tcBorders>
            <w:shd w:fill="AED6F1" w:val="clear"/>
            <w:tcMar>
              <w:top w:type="dxa" w:w="80"/>
              <w:left w:type="dxa" w:w="160"/>
              <w:bottom w:type="dxa" w:w="80"/>
              <w:right w:type="dxa" w:w="80"/>
            </w:tcMar>
          </w:tcPr>
          <w:p>
            <w:pPr>
              <w:jc w:val="center"/>
            </w:pPr>
            <w:r>
              <w:rPr>
                <w:rFonts w:ascii="Arial" w:cs="Arial" w:eastAsia="Arial" w:hAnsi="Arial"/>
                <w:b/>
                <w:bCs/>
                <w:color w:val="FFFFFF"/>
                <w:sz w:val="22"/>
                <w:szCs w:val="22"/>
              </w:rPr>
              <w:t xml:space="preserve">Q1</w:t>
            </w:r>
          </w:p>
        </w:tc>
        <w:tc>
          <w:tcPr>
            <w:tcW w:type="dxa" w:w="8800"/>
            <w:tcBorders>
              <w:top w:val="none" w:color="FFFFFF" w:sz="0"/>
              <w:left w:val="none" w:color="FFFFFF" w:sz="0"/>
              <w:bottom w:val="none" w:color="FFFFFF" w:sz="0"/>
              <w:right w:val="none" w:color="FFFFFF" w:sz="0"/>
            </w:tcBorders>
            <w:shd w:fill="D6E4F0" w:val="clear"/>
            <w:tcMar>
              <w:top w:type="dxa" w:w="100"/>
              <w:left w:type="dxa" w:w="160"/>
              <w:bottom w:type="dxa" w:w="100"/>
              <w:right w:type="dxa" w:w="160"/>
            </w:tcMar>
          </w:tcPr>
          <w:p>
            <w:r>
              <w:rPr>
                <w:rFonts w:ascii="Arial" w:cs="Arial" w:eastAsia="Arial" w:hAnsi="Arial"/>
                <w:b/>
                <w:bCs/>
                <w:color w:val="1F4E79"/>
                <w:sz w:val="22"/>
                <w:szCs w:val="22"/>
              </w:rPr>
              <w:t xml:space="preserve">Where did your data come from? Did you collect it yourself?</w:t>
            </w:r>
          </w:p>
        </w:tc>
      </w:tr>
      <w:tr>
        <w:tc>
          <w:tcPr>
            <w:tcW w:type="dxa" w:w="560"/>
            <w:tcBorders>
              <w:top w:val="none" w:color="FFFFFF" w:sz="0"/>
              <w:left w:val="none" w:color="FFFFFF" w:sz="0"/>
              <w:bottom w:val="none" w:color="FFFFFF" w:sz="0"/>
              <w:right w:val="none" w:color="FFFFFF" w:sz="0"/>
            </w:tcBorders>
            <w:shd w:fill="E8F4FD" w:val="clear"/>
            <w:tcMar>
              <w:top w:type="dxa" w:w="80"/>
              <w:left w:type="dxa" w:w="160"/>
              <w:bottom w:type="dxa" w:w="80"/>
              <w:right w:type="dxa" w:w="80"/>
            </w:tcMar>
          </w:tcPr>
          <w:p>
            <w:pPr>
              <w:jc w:val="center"/>
            </w:pPr>
            <w:r>
              <w:rPr>
                <w:rFonts w:ascii="Arial" w:cs="Arial" w:eastAsia="Arial" w:hAnsi="Arial"/>
                <w:b/>
                <w:bCs/>
                <w:color w:val="2E75B6"/>
                <w:sz w:val="22"/>
                <w:szCs w:val="22"/>
              </w:rPr>
              <w:t xml:space="preserve">A</w:t>
            </w:r>
          </w:p>
        </w:tc>
        <w:tc>
          <w:tcPr>
            <w:tcW w:type="dxa" w:w="8800"/>
            <w:tcBorders>
              <w:top w:val="none" w:color="FFFFFF" w:sz="0"/>
              <w:left w:val="none" w:color="FFFFFF" w:sz="0"/>
              <w:bottom w:val="none" w:color="FFFFFF" w:sz="0"/>
              <w:right w:val="none" w:color="FFFFFF" w:sz="0"/>
            </w:tcBorders>
            <w:shd w:fill="E8F4FD" w:val="clear"/>
            <w:tcMar>
              <w:top w:type="dxa" w:w="100"/>
              <w:left w:type="dxa" w:w="160"/>
              <w:bottom w:type="dxa" w:w="100"/>
              <w:right w:type="dxa" w:w="160"/>
            </w:tcMar>
          </w:tcPr>
          <w:p>
            <w:r>
              <w:rPr>
                <w:rFonts w:ascii="Arial" w:cs="Arial" w:eastAsia="Arial" w:hAnsi="Arial"/>
                <w:color w:val="333333"/>
                <w:sz w:val="20"/>
                <w:szCs w:val="20"/>
              </w:rPr>
              <w:t xml:space="preserve">No, I used the publicly available ETH/UCY pedestrian trajectory datasets — real overhead video recordings of crowds in naturalistic settings (university campus, shopping streets, hotel). The datasets were collected by Pellegrini et al. (2009) for the ETH scene, and Lerner et al. (2007) for the UCY scenes (Hotel, Students03, Zara01, Zara02). I accessed the preprocessed trajectory files via the Social GAN repository (Gupta et al. 2018). These are standard benchmark datasets used across the crowd simulation and robot navigation community.</w:t>
            </w:r>
          </w:p>
        </w:tc>
      </w:tr>
      <w:tr>
        <w:tc>
          <w:tcPr>
            <w:tcW w:type="dxa" w:w="560"/>
            <w:tcBorders>
              <w:top w:val="none" w:color="FFFFFF" w:sz="0"/>
              <w:left w:val="none" w:color="FFFFFF" w:sz="0"/>
              <w:bottom w:val="none" w:color="FFFFFF" w:sz="0"/>
              <w:right w:val="none" w:color="FFFFFF" w:sz="0"/>
            </w:tcBorders>
            <w:shd w:fill="F5F5F5" w:val="clear"/>
            <w:tcMar>
              <w:top w:type="dxa" w:w="60"/>
              <w:left w:type="dxa" w:w="160"/>
              <w:bottom w:type="dxa" w:w="60"/>
              <w:right w:type="dxa" w:w="80"/>
            </w:tcMar>
          </w:tcPr>
          <w:p>
            <w:r>
              <w:rPr>
                <w:rFonts w:ascii="Arial" w:cs="Arial" w:eastAsia="Arial" w:hAnsi="Arial"/>
                <w:sz w:val="18"/>
                <w:szCs w:val="18"/>
              </w:rPr>
              <w:t xml:space="preserve">📚</w:t>
            </w:r>
          </w:p>
        </w:tc>
        <w:tc>
          <w:tcPr>
            <w:tcW w:type="dxa" w:w="8800"/>
            <w:tcBorders>
              <w:top w:val="dashed"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i/>
                <w:iCs/>
                <w:color w:val="555555"/>
                <w:sz w:val="18"/>
                <w:szCs w:val="18"/>
              </w:rPr>
              <w:t xml:space="preserve">Source(s): Pellegrini et al. (2009) ICCV — ETH dataset; Lerner et al. (2007) Computer Graphics Forum — UCY dataset; Gupta et al. (2018) CVPR — SGAN preprocessing pipeline.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tblCellMar>
      </w:tblPr>
      <w:tblGrid>
        <w:gridCol w:w="560"/>
        <w:gridCol w:w="8800"/>
      </w:tblGrid>
      <w:tr>
        <w:tc>
          <w:tcPr>
            <w:tcW w:type="dxa" w:w="560"/>
            <w:tcBorders>
              <w:top w:val="none" w:color="FFFFFF" w:sz="0"/>
              <w:left w:val="none" w:color="FFFFFF" w:sz="0"/>
              <w:bottom w:val="none" w:color="FFFFFF" w:sz="0"/>
              <w:right w:val="none" w:color="FFFFFF" w:sz="0"/>
            </w:tcBorders>
            <w:shd w:fill="AED6F1" w:val="clear"/>
            <w:tcMar>
              <w:top w:type="dxa" w:w="80"/>
              <w:left w:type="dxa" w:w="160"/>
              <w:bottom w:type="dxa" w:w="80"/>
              <w:right w:type="dxa" w:w="80"/>
            </w:tcMar>
          </w:tcPr>
          <w:p>
            <w:pPr>
              <w:jc w:val="center"/>
            </w:pPr>
            <w:r>
              <w:rPr>
                <w:rFonts w:ascii="Arial" w:cs="Arial" w:eastAsia="Arial" w:hAnsi="Arial"/>
                <w:b/>
                <w:bCs/>
                <w:color w:val="FFFFFF"/>
                <w:sz w:val="22"/>
                <w:szCs w:val="22"/>
              </w:rPr>
              <w:t xml:space="preserve">Q2</w:t>
            </w:r>
          </w:p>
        </w:tc>
        <w:tc>
          <w:tcPr>
            <w:tcW w:type="dxa" w:w="8800"/>
            <w:tcBorders>
              <w:top w:val="none" w:color="FFFFFF" w:sz="0"/>
              <w:left w:val="none" w:color="FFFFFF" w:sz="0"/>
              <w:bottom w:val="none" w:color="FFFFFF" w:sz="0"/>
              <w:right w:val="none" w:color="FFFFFF" w:sz="0"/>
            </w:tcBorders>
            <w:shd w:fill="D6E4F0" w:val="clear"/>
            <w:tcMar>
              <w:top w:type="dxa" w:w="100"/>
              <w:left w:type="dxa" w:w="160"/>
              <w:bottom w:type="dxa" w:w="100"/>
              <w:right w:type="dxa" w:w="160"/>
            </w:tcMar>
          </w:tcPr>
          <w:p>
            <w:r>
              <w:rPr>
                <w:rFonts w:ascii="Arial" w:cs="Arial" w:eastAsia="Arial" w:hAnsi="Arial"/>
                <w:b/>
                <w:bCs/>
                <w:color w:val="1F4E79"/>
                <w:sz w:val="22"/>
                <w:szCs w:val="22"/>
              </w:rPr>
              <w:t xml:space="preserve">Why did you choose ETH/UCY specifically?</w:t>
            </w:r>
          </w:p>
        </w:tc>
      </w:tr>
      <w:tr>
        <w:tc>
          <w:tcPr>
            <w:tcW w:type="dxa" w:w="560"/>
            <w:tcBorders>
              <w:top w:val="none" w:color="FFFFFF" w:sz="0"/>
              <w:left w:val="none" w:color="FFFFFF" w:sz="0"/>
              <w:bottom w:val="none" w:color="FFFFFF" w:sz="0"/>
              <w:right w:val="none" w:color="FFFFFF" w:sz="0"/>
            </w:tcBorders>
            <w:shd w:fill="E8F4FD" w:val="clear"/>
            <w:tcMar>
              <w:top w:type="dxa" w:w="80"/>
              <w:left w:type="dxa" w:w="160"/>
              <w:bottom w:type="dxa" w:w="80"/>
              <w:right w:type="dxa" w:w="80"/>
            </w:tcMar>
          </w:tcPr>
          <w:p>
            <w:pPr>
              <w:jc w:val="center"/>
            </w:pPr>
            <w:r>
              <w:rPr>
                <w:rFonts w:ascii="Arial" w:cs="Arial" w:eastAsia="Arial" w:hAnsi="Arial"/>
                <w:b/>
                <w:bCs/>
                <w:color w:val="2E75B6"/>
                <w:sz w:val="22"/>
                <w:szCs w:val="22"/>
              </w:rPr>
              <w:t xml:space="preserve">A</w:t>
            </w:r>
          </w:p>
        </w:tc>
        <w:tc>
          <w:tcPr>
            <w:tcW w:type="dxa" w:w="8800"/>
            <w:tcBorders>
              <w:top w:val="none" w:color="FFFFFF" w:sz="0"/>
              <w:left w:val="none" w:color="FFFFFF" w:sz="0"/>
              <w:bottom w:val="none" w:color="FFFFFF" w:sz="0"/>
              <w:right w:val="none" w:color="FFFFFF" w:sz="0"/>
            </w:tcBorders>
            <w:shd w:fill="E8F4FD" w:val="clear"/>
            <w:tcMar>
              <w:top w:type="dxa" w:w="100"/>
              <w:left w:type="dxa" w:w="160"/>
              <w:bottom w:type="dxa" w:w="100"/>
              <w:right w:type="dxa" w:w="160"/>
            </w:tcMar>
          </w:tcPr>
          <w:p>
            <w:r>
              <w:rPr>
                <w:rFonts w:ascii="Arial" w:cs="Arial" w:eastAsia="Arial" w:hAnsi="Arial"/>
                <w:color w:val="333333"/>
                <w:sz w:val="20"/>
                <w:szCs w:val="20"/>
              </w:rPr>
              <w:t xml:space="preserve">ETH/UCY is the gold-standard benchmark for pedestrian trajectory research. It covers 5 diverse real-world scenes with varied crowd densities, and has been used in hundreds of navigation and prediction papers, making comparisons meaningful. Using real data rather than synthetic data is important because synthetic scenarios may not capture genuine human spatial behaviour. The 443,074 agent pairs I extracted give robust statistical estimates of actual inter-personal distances.</w:t>
            </w:r>
          </w:p>
        </w:tc>
      </w:tr>
      <w:tr>
        <w:tc>
          <w:tcPr>
            <w:tcW w:type="dxa" w:w="560"/>
            <w:tcBorders>
              <w:top w:val="none" w:color="FFFFFF" w:sz="0"/>
              <w:left w:val="none" w:color="FFFFFF" w:sz="0"/>
              <w:bottom w:val="none" w:color="FFFFFF" w:sz="0"/>
              <w:right w:val="none" w:color="FFFFFF" w:sz="0"/>
            </w:tcBorders>
            <w:shd w:fill="F5F5F5" w:val="clear"/>
            <w:tcMar>
              <w:top w:type="dxa" w:w="60"/>
              <w:left w:type="dxa" w:w="160"/>
              <w:bottom w:type="dxa" w:w="60"/>
              <w:right w:type="dxa" w:w="80"/>
            </w:tcMar>
          </w:tcPr>
          <w:p>
            <w:r>
              <w:rPr>
                <w:rFonts w:ascii="Arial" w:cs="Arial" w:eastAsia="Arial" w:hAnsi="Arial"/>
                <w:sz w:val="18"/>
                <w:szCs w:val="18"/>
              </w:rPr>
              <w:t xml:space="preserve">📚</w:t>
            </w:r>
          </w:p>
        </w:tc>
        <w:tc>
          <w:tcPr>
            <w:tcW w:type="dxa" w:w="8800"/>
            <w:tcBorders>
              <w:top w:val="dashed"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i/>
                <w:iCs/>
                <w:color w:val="555555"/>
                <w:sz w:val="18"/>
                <w:szCs w:val="18"/>
              </w:rPr>
              <w:t xml:space="preserve">Source(s): Pellegrini et al. (2009); Lerner et al. (2007); Gupta et al. (2018) — dataset provenance and benchmark status.</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tblCellMar>
      </w:tblPr>
      <w:tblGrid>
        <w:gridCol w:w="560"/>
        <w:gridCol w:w="8800"/>
      </w:tblGrid>
      <w:tr>
        <w:tc>
          <w:tcPr>
            <w:tcW w:type="dxa" w:w="560"/>
            <w:tcBorders>
              <w:top w:val="none" w:color="FFFFFF" w:sz="0"/>
              <w:left w:val="none" w:color="FFFFFF" w:sz="0"/>
              <w:bottom w:val="none" w:color="FFFFFF" w:sz="0"/>
              <w:right w:val="none" w:color="FFFFFF" w:sz="0"/>
            </w:tcBorders>
            <w:shd w:fill="AED6F1" w:val="clear"/>
            <w:tcMar>
              <w:top w:type="dxa" w:w="80"/>
              <w:left w:type="dxa" w:w="160"/>
              <w:bottom w:type="dxa" w:w="80"/>
              <w:right w:type="dxa" w:w="80"/>
            </w:tcMar>
          </w:tcPr>
          <w:p>
            <w:pPr>
              <w:jc w:val="center"/>
            </w:pPr>
            <w:r>
              <w:rPr>
                <w:rFonts w:ascii="Arial" w:cs="Arial" w:eastAsia="Arial" w:hAnsi="Arial"/>
                <w:b/>
                <w:bCs/>
                <w:color w:val="FFFFFF"/>
                <w:sz w:val="22"/>
                <w:szCs w:val="22"/>
              </w:rPr>
              <w:t xml:space="preserve">Q3</w:t>
            </w:r>
          </w:p>
        </w:tc>
        <w:tc>
          <w:tcPr>
            <w:tcW w:type="dxa" w:w="8800"/>
            <w:tcBorders>
              <w:top w:val="none" w:color="FFFFFF" w:sz="0"/>
              <w:left w:val="none" w:color="FFFFFF" w:sz="0"/>
              <w:bottom w:val="none" w:color="FFFFFF" w:sz="0"/>
              <w:right w:val="none" w:color="FFFFFF" w:sz="0"/>
            </w:tcBorders>
            <w:shd w:fill="D6E4F0" w:val="clear"/>
            <w:tcMar>
              <w:top w:type="dxa" w:w="100"/>
              <w:left w:type="dxa" w:w="160"/>
              <w:bottom w:type="dxa" w:w="100"/>
              <w:right w:type="dxa" w:w="160"/>
            </w:tcMar>
          </w:tcPr>
          <w:p>
            <w:r>
              <w:rPr>
                <w:rFonts w:ascii="Arial" w:cs="Arial" w:eastAsia="Arial" w:hAnsi="Arial"/>
                <w:b/>
                <w:bCs/>
                <w:color w:val="1F4E79"/>
                <w:sz w:val="22"/>
                <w:szCs w:val="22"/>
              </w:rPr>
              <w:t xml:space="preserve">What exactly are the 443,074 'agent pairs' you mention?</w:t>
            </w:r>
          </w:p>
        </w:tc>
      </w:tr>
      <w:tr>
        <w:tc>
          <w:tcPr>
            <w:tcW w:type="dxa" w:w="560"/>
            <w:tcBorders>
              <w:top w:val="none" w:color="FFFFFF" w:sz="0"/>
              <w:left w:val="none" w:color="FFFFFF" w:sz="0"/>
              <w:bottom w:val="none" w:color="FFFFFF" w:sz="0"/>
              <w:right w:val="none" w:color="FFFFFF" w:sz="0"/>
            </w:tcBorders>
            <w:shd w:fill="E8F4FD" w:val="clear"/>
            <w:tcMar>
              <w:top w:type="dxa" w:w="80"/>
              <w:left w:type="dxa" w:w="160"/>
              <w:bottom w:type="dxa" w:w="80"/>
              <w:right w:type="dxa" w:w="80"/>
            </w:tcMar>
          </w:tcPr>
          <w:p>
            <w:pPr>
              <w:jc w:val="center"/>
            </w:pPr>
            <w:r>
              <w:rPr>
                <w:rFonts w:ascii="Arial" w:cs="Arial" w:eastAsia="Arial" w:hAnsi="Arial"/>
                <w:b/>
                <w:bCs/>
                <w:color w:val="2E75B6"/>
                <w:sz w:val="22"/>
                <w:szCs w:val="22"/>
              </w:rPr>
              <w:t xml:space="preserve">A</w:t>
            </w:r>
          </w:p>
        </w:tc>
        <w:tc>
          <w:tcPr>
            <w:tcW w:type="dxa" w:w="8800"/>
            <w:tcBorders>
              <w:top w:val="none" w:color="FFFFFF" w:sz="0"/>
              <w:left w:val="none" w:color="FFFFFF" w:sz="0"/>
              <w:bottom w:val="none" w:color="FFFFFF" w:sz="0"/>
              <w:right w:val="none" w:color="FFFFFF" w:sz="0"/>
            </w:tcBorders>
            <w:shd w:fill="E8F4FD" w:val="clear"/>
            <w:tcMar>
              <w:top w:type="dxa" w:w="100"/>
              <w:left w:type="dxa" w:w="160"/>
              <w:bottom w:type="dxa" w:w="100"/>
              <w:right w:type="dxa" w:w="160"/>
            </w:tcMar>
          </w:tcPr>
          <w:p>
            <w:r>
              <w:rPr>
                <w:rFonts w:ascii="Arial" w:cs="Arial" w:eastAsia="Arial" w:hAnsi="Arial"/>
                <w:color w:val="333333"/>
                <w:sz w:val="20"/>
                <w:szCs w:val="20"/>
              </w:rPr>
              <w:t xml:space="preserve">At each timestep in the dataset, for every pair of pedestrians within observable range, I recorded the distance between them and the relative angle (which direction one person was facing relative to the other). So if there are 10 people in a frame, there are up to 90 directed pairs. Across 5 scenes and thousands of frames, this accumulates to 443,074 such observations. Each pair contributes to one of four directional zones — front, back, left, or right — based on the facing direction of the 'ego' pedestrian.</w:t>
            </w:r>
          </w:p>
        </w:tc>
      </w:tr>
      <w:tr>
        <w:tc>
          <w:tcPr>
            <w:tcW w:type="dxa" w:w="560"/>
            <w:tcBorders>
              <w:top w:val="none" w:color="FFFFFF" w:sz="0"/>
              <w:left w:val="none" w:color="FFFFFF" w:sz="0"/>
              <w:bottom w:val="none" w:color="FFFFFF" w:sz="0"/>
              <w:right w:val="none" w:color="FFFFFF" w:sz="0"/>
            </w:tcBorders>
            <w:shd w:fill="F5F5F5" w:val="clear"/>
            <w:tcMar>
              <w:top w:type="dxa" w:w="60"/>
              <w:left w:type="dxa" w:w="160"/>
              <w:bottom w:type="dxa" w:w="60"/>
              <w:right w:type="dxa" w:w="80"/>
            </w:tcMar>
          </w:tcPr>
          <w:p>
            <w:r>
              <w:rPr>
                <w:rFonts w:ascii="Arial" w:cs="Arial" w:eastAsia="Arial" w:hAnsi="Arial"/>
                <w:sz w:val="18"/>
                <w:szCs w:val="18"/>
              </w:rPr>
              <w:t xml:space="preserve">📚</w:t>
            </w:r>
          </w:p>
        </w:tc>
        <w:tc>
          <w:tcPr>
            <w:tcW w:type="dxa" w:w="8800"/>
            <w:tcBorders>
              <w:top w:val="dashed"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i/>
                <w:iCs/>
                <w:color w:val="555555"/>
                <w:sz w:val="18"/>
                <w:szCs w:val="18"/>
              </w:rPr>
              <w:t xml:space="preserve">Source(s): ETH/UCY datasets (Pellegrini 2009, Lerner 2007); extraction methodology from extract_zones.py using 10th-percentile inter-agent distance per angular zone.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tblCellMar>
      </w:tblPr>
      <w:tblGrid>
        <w:gridCol w:w="560"/>
        <w:gridCol w:w="8800"/>
      </w:tblGrid>
      <w:tr>
        <w:tc>
          <w:tcPr>
            <w:tcW w:type="dxa" w:w="560"/>
            <w:tcBorders>
              <w:top w:val="none" w:color="FFFFFF" w:sz="0"/>
              <w:left w:val="none" w:color="FFFFFF" w:sz="0"/>
              <w:bottom w:val="none" w:color="FFFFFF" w:sz="0"/>
              <w:right w:val="none" w:color="FFFFFF" w:sz="0"/>
            </w:tcBorders>
            <w:shd w:fill="AED6F1" w:val="clear"/>
            <w:tcMar>
              <w:top w:type="dxa" w:w="80"/>
              <w:left w:type="dxa" w:w="160"/>
              <w:bottom w:type="dxa" w:w="80"/>
              <w:right w:type="dxa" w:w="80"/>
            </w:tcMar>
          </w:tcPr>
          <w:p>
            <w:pPr>
              <w:jc w:val="center"/>
            </w:pPr>
            <w:r>
              <w:rPr>
                <w:rFonts w:ascii="Arial" w:cs="Arial" w:eastAsia="Arial" w:hAnsi="Arial"/>
                <w:b/>
                <w:bCs/>
                <w:color w:val="FFFFFF"/>
                <w:sz w:val="22"/>
                <w:szCs w:val="22"/>
              </w:rPr>
              <w:t xml:space="preserve">Q4</w:t>
            </w:r>
          </w:p>
        </w:tc>
        <w:tc>
          <w:tcPr>
            <w:tcW w:type="dxa" w:w="8800"/>
            <w:tcBorders>
              <w:top w:val="none" w:color="FFFFFF" w:sz="0"/>
              <w:left w:val="none" w:color="FFFFFF" w:sz="0"/>
              <w:bottom w:val="none" w:color="FFFFFF" w:sz="0"/>
              <w:right w:val="none" w:color="FFFFFF" w:sz="0"/>
            </w:tcBorders>
            <w:shd w:fill="D6E4F0" w:val="clear"/>
            <w:tcMar>
              <w:top w:type="dxa" w:w="100"/>
              <w:left w:type="dxa" w:w="160"/>
              <w:bottom w:type="dxa" w:w="100"/>
              <w:right w:type="dxa" w:w="160"/>
            </w:tcMar>
          </w:tcPr>
          <w:p>
            <w:r>
              <w:rPr>
                <w:rFonts w:ascii="Arial" w:cs="Arial" w:eastAsia="Arial" w:hAnsi="Arial"/>
                <w:b/>
                <w:bCs/>
                <w:color w:val="1F4E79"/>
                <w:sz w:val="22"/>
                <w:szCs w:val="22"/>
              </w:rPr>
              <w:t xml:space="preserve">Why did you use the 10th percentile rather than the mean or minimum distance?</w:t>
            </w:r>
          </w:p>
        </w:tc>
      </w:tr>
      <w:tr>
        <w:tc>
          <w:tcPr>
            <w:tcW w:type="dxa" w:w="560"/>
            <w:tcBorders>
              <w:top w:val="none" w:color="FFFFFF" w:sz="0"/>
              <w:left w:val="none" w:color="FFFFFF" w:sz="0"/>
              <w:bottom w:val="none" w:color="FFFFFF" w:sz="0"/>
              <w:right w:val="none" w:color="FFFFFF" w:sz="0"/>
            </w:tcBorders>
            <w:shd w:fill="E8F4FD" w:val="clear"/>
            <w:tcMar>
              <w:top w:type="dxa" w:w="80"/>
              <w:left w:type="dxa" w:w="160"/>
              <w:bottom w:type="dxa" w:w="80"/>
              <w:right w:type="dxa" w:w="80"/>
            </w:tcMar>
          </w:tcPr>
          <w:p>
            <w:pPr>
              <w:jc w:val="center"/>
            </w:pPr>
            <w:r>
              <w:rPr>
                <w:rFonts w:ascii="Arial" w:cs="Arial" w:eastAsia="Arial" w:hAnsi="Arial"/>
                <w:b/>
                <w:bCs/>
                <w:color w:val="2E75B6"/>
                <w:sz w:val="22"/>
                <w:szCs w:val="22"/>
              </w:rPr>
              <w:t xml:space="preserve">A</w:t>
            </w:r>
          </w:p>
        </w:tc>
        <w:tc>
          <w:tcPr>
            <w:tcW w:type="dxa" w:w="8800"/>
            <w:tcBorders>
              <w:top w:val="none" w:color="FFFFFF" w:sz="0"/>
              <w:left w:val="none" w:color="FFFFFF" w:sz="0"/>
              <w:bottom w:val="none" w:color="FFFFFF" w:sz="0"/>
              <w:right w:val="none" w:color="FFFFFF" w:sz="0"/>
            </w:tcBorders>
            <w:shd w:fill="E8F4FD" w:val="clear"/>
            <w:tcMar>
              <w:top w:type="dxa" w:w="100"/>
              <w:left w:type="dxa" w:w="160"/>
              <w:bottom w:type="dxa" w:w="100"/>
              <w:right w:type="dxa" w:w="160"/>
            </w:tcMar>
          </w:tcPr>
          <w:p>
            <w:r>
              <w:rPr>
                <w:rFonts w:ascii="Arial" w:cs="Arial" w:eastAsia="Arial" w:hAnsi="Arial"/>
                <w:color w:val="333333"/>
                <w:sz w:val="20"/>
                <w:szCs w:val="20"/>
              </w:rPr>
              <w:t xml:space="preserve">The mean distance is dominated by far-apart pedestrians who are not interacting at all — it would give an inflated, uninformative zone estimate. The minimum distance is too sensitive to brief accidental near-misses or data noise. The 10th percentile captures the typical minimum comfortable distance — the boundary that 90% of people stay beyond during normal movement. It represents a genuine comfort threshold rather than noise or an outlier.</w:t>
            </w:r>
          </w:p>
        </w:tc>
      </w:tr>
      <w:tr>
        <w:tc>
          <w:tcPr>
            <w:tcW w:type="dxa" w:w="560"/>
            <w:tcBorders>
              <w:top w:val="none" w:color="FFFFFF" w:sz="0"/>
              <w:left w:val="none" w:color="FFFFFF" w:sz="0"/>
              <w:bottom w:val="none" w:color="FFFFFF" w:sz="0"/>
              <w:right w:val="none" w:color="FFFFFF" w:sz="0"/>
            </w:tcBorders>
            <w:shd w:fill="F5F5F5" w:val="clear"/>
            <w:tcMar>
              <w:top w:type="dxa" w:w="60"/>
              <w:left w:type="dxa" w:w="160"/>
              <w:bottom w:type="dxa" w:w="60"/>
              <w:right w:type="dxa" w:w="80"/>
            </w:tcMar>
          </w:tcPr>
          <w:p>
            <w:r>
              <w:rPr>
                <w:rFonts w:ascii="Arial" w:cs="Arial" w:eastAsia="Arial" w:hAnsi="Arial"/>
                <w:sz w:val="18"/>
                <w:szCs w:val="18"/>
              </w:rPr>
              <w:t xml:space="preserve">📚</w:t>
            </w:r>
          </w:p>
        </w:tc>
        <w:tc>
          <w:tcPr>
            <w:tcW w:type="dxa" w:w="8800"/>
            <w:tcBorders>
              <w:top w:val="dashed"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i/>
                <w:iCs/>
                <w:color w:val="555555"/>
                <w:sz w:val="18"/>
                <w:szCs w:val="18"/>
              </w:rPr>
              <w:t xml:space="preserve">Source(s): Standard practice in proxemics measurement; Kirby (2010) Social Robot Navigation (CMU PhD thesis) discusses percentile-based zone estimation; Truong &amp; Ngo (2017) use similar statistical approaches.</w:t>
            </w:r>
          </w:p>
        </w:tc>
      </w:tr>
    </w:tbl>
    <w:p>
      <w:pPr>
        <w:spacing w:before="0" w:after="0"/>
      </w:pPr>
      <w:r>
        <w:t xml:space="preserve"/>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60"/>
              <w:left w:type="dxa" w:w="200"/>
              <w:bottom w:type="dxa" w:w="160"/>
              <w:right w:type="dxa" w:w="200"/>
            </w:tcMar>
          </w:tcPr>
          <w:p>
            <w:r>
              <w:rPr>
                <w:rFonts w:ascii="Arial" w:cs="Arial" w:eastAsia="Arial" w:hAnsi="Arial"/>
                <w:b/>
                <w:bCs/>
                <w:color w:val="FFFFFF"/>
                <w:sz w:val="28"/>
                <w:szCs w:val="28"/>
              </w:rPr>
              <w:t xml:space="preserve">CATEGORY 3: ZONE DISTANCES &amp; SCALING FACTORS</w:t>
            </w:r>
          </w:p>
          <w:p>
            <w:r>
              <w:rPr>
                <w:rFonts w:ascii="Arial" w:cs="Arial" w:eastAsia="Arial" w:hAnsi="Arial"/>
                <w:i/>
                <w:iCs/>
                <w:color w:val="BDC3C7"/>
                <w:sz w:val="20"/>
                <w:szCs w:val="20"/>
              </w:rPr>
              <w:t xml:space="preserve">Where the numbers came from and why they are justified</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tblCellMar>
      </w:tblPr>
      <w:tblGrid>
        <w:gridCol w:w="560"/>
        <w:gridCol w:w="8800"/>
      </w:tblGrid>
      <w:tr>
        <w:tc>
          <w:tcPr>
            <w:tcW w:type="dxa" w:w="560"/>
            <w:tcBorders>
              <w:top w:val="none" w:color="FFFFFF" w:sz="0"/>
              <w:left w:val="none" w:color="FFFFFF" w:sz="0"/>
              <w:bottom w:val="none" w:color="FFFFFF" w:sz="0"/>
              <w:right w:val="none" w:color="FFFFFF" w:sz="0"/>
            </w:tcBorders>
            <w:shd w:fill="AED6F1" w:val="clear"/>
            <w:tcMar>
              <w:top w:type="dxa" w:w="80"/>
              <w:left w:type="dxa" w:w="160"/>
              <w:bottom w:type="dxa" w:w="80"/>
              <w:right w:type="dxa" w:w="80"/>
            </w:tcMar>
          </w:tcPr>
          <w:p>
            <w:pPr>
              <w:jc w:val="center"/>
            </w:pPr>
            <w:r>
              <w:rPr>
                <w:rFonts w:ascii="Arial" w:cs="Arial" w:eastAsia="Arial" w:hAnsi="Arial"/>
                <w:b/>
                <w:bCs/>
                <w:color w:val="FFFFFF"/>
                <w:sz w:val="22"/>
                <w:szCs w:val="22"/>
              </w:rPr>
              <w:t xml:space="preserve">Q1</w:t>
            </w:r>
          </w:p>
        </w:tc>
        <w:tc>
          <w:tcPr>
            <w:tcW w:type="dxa" w:w="8800"/>
            <w:tcBorders>
              <w:top w:val="none" w:color="FFFFFF" w:sz="0"/>
              <w:left w:val="none" w:color="FFFFFF" w:sz="0"/>
              <w:bottom w:val="none" w:color="FFFFFF" w:sz="0"/>
              <w:right w:val="none" w:color="FFFFFF" w:sz="0"/>
            </w:tcBorders>
            <w:shd w:fill="D6E4F0" w:val="clear"/>
            <w:tcMar>
              <w:top w:type="dxa" w:w="100"/>
              <w:left w:type="dxa" w:w="160"/>
              <w:bottom w:type="dxa" w:w="100"/>
              <w:right w:type="dxa" w:w="160"/>
            </w:tcMar>
          </w:tcPr>
          <w:p>
            <w:r>
              <w:rPr>
                <w:rFonts w:ascii="Arial" w:cs="Arial" w:eastAsia="Arial" w:hAnsi="Arial"/>
                <w:b/>
                <w:bCs/>
                <w:color w:val="1F4E79"/>
                <w:sz w:val="22"/>
                <w:szCs w:val="22"/>
              </w:rPr>
              <w:t xml:space="preserve">Your raw front distance from the data is only 0.44m. That seems way too close for a robot to use. How do you justify your final 1.74m figure?</w:t>
            </w:r>
          </w:p>
        </w:tc>
      </w:tr>
      <w:tr>
        <w:tc>
          <w:tcPr>
            <w:tcW w:type="dxa" w:w="560"/>
            <w:tcBorders>
              <w:top w:val="none" w:color="FFFFFF" w:sz="0"/>
              <w:left w:val="none" w:color="FFFFFF" w:sz="0"/>
              <w:bottom w:val="none" w:color="FFFFFF" w:sz="0"/>
              <w:right w:val="none" w:color="FFFFFF" w:sz="0"/>
            </w:tcBorders>
            <w:shd w:fill="E8F4FD" w:val="clear"/>
            <w:tcMar>
              <w:top w:type="dxa" w:w="80"/>
              <w:left w:type="dxa" w:w="160"/>
              <w:bottom w:type="dxa" w:w="80"/>
              <w:right w:type="dxa" w:w="80"/>
            </w:tcMar>
          </w:tcPr>
          <w:p>
            <w:pPr>
              <w:jc w:val="center"/>
            </w:pPr>
            <w:r>
              <w:rPr>
                <w:rFonts w:ascii="Arial" w:cs="Arial" w:eastAsia="Arial" w:hAnsi="Arial"/>
                <w:b/>
                <w:bCs/>
                <w:color w:val="2E75B6"/>
                <w:sz w:val="22"/>
                <w:szCs w:val="22"/>
              </w:rPr>
              <w:t xml:space="preserve">A</w:t>
            </w:r>
          </w:p>
        </w:tc>
        <w:tc>
          <w:tcPr>
            <w:tcW w:type="dxa" w:w="8800"/>
            <w:tcBorders>
              <w:top w:val="none" w:color="FFFFFF" w:sz="0"/>
              <w:left w:val="none" w:color="FFFFFF" w:sz="0"/>
              <w:bottom w:val="none" w:color="FFFFFF" w:sz="0"/>
              <w:right w:val="none" w:color="FFFFFF" w:sz="0"/>
            </w:tcBorders>
            <w:shd w:fill="E8F4FD" w:val="clear"/>
            <w:tcMar>
              <w:top w:type="dxa" w:w="100"/>
              <w:left w:type="dxa" w:w="160"/>
              <w:bottom w:type="dxa" w:w="100"/>
              <w:right w:type="dxa" w:w="160"/>
            </w:tcMar>
          </w:tcPr>
          <w:p>
            <w:r>
              <w:rPr>
                <w:rFonts w:ascii="Arial" w:cs="Arial" w:eastAsia="Arial" w:hAnsi="Arial"/>
                <w:color w:val="333333"/>
                <w:sz w:val="20"/>
                <w:szCs w:val="20"/>
              </w:rPr>
              <w:t xml:space="preserve">The raw 0.44m is the distance at which humans tolerate other humans in front — essentially body-contact distance in a crowded street context. But humans and robots are perceived very differently. Syrdal et al. (2007) showed that people prefer 1.5–2× more distance from robots than from other people. Mead &amp; Mataric (2017) confirm robot-specific proxemics preferences in the 1.2–2.0m range. Additionally, Hall (1966) defines 'personal space' as beginning at approximately 0.45–1.2m for acquaintances and 1.2–3.6m for social interaction with strangers. Scaling by 4.0× brings the front zone to 1.74m, which aligns with Hall's 'social-consultative' zone and the robot proxemics literature.</w:t>
            </w:r>
          </w:p>
        </w:tc>
      </w:tr>
      <w:tr>
        <w:tc>
          <w:tcPr>
            <w:tcW w:type="dxa" w:w="560"/>
            <w:tcBorders>
              <w:top w:val="none" w:color="FFFFFF" w:sz="0"/>
              <w:left w:val="none" w:color="FFFFFF" w:sz="0"/>
              <w:bottom w:val="none" w:color="FFFFFF" w:sz="0"/>
              <w:right w:val="none" w:color="FFFFFF" w:sz="0"/>
            </w:tcBorders>
            <w:shd w:fill="F5F5F5" w:val="clear"/>
            <w:tcMar>
              <w:top w:type="dxa" w:w="60"/>
              <w:left w:type="dxa" w:w="160"/>
              <w:bottom w:type="dxa" w:w="60"/>
              <w:right w:type="dxa" w:w="80"/>
            </w:tcMar>
          </w:tcPr>
          <w:p>
            <w:r>
              <w:rPr>
                <w:rFonts w:ascii="Arial" w:cs="Arial" w:eastAsia="Arial" w:hAnsi="Arial"/>
                <w:sz w:val="18"/>
                <w:szCs w:val="18"/>
              </w:rPr>
              <w:t xml:space="preserve">📚</w:t>
            </w:r>
          </w:p>
        </w:tc>
        <w:tc>
          <w:tcPr>
            <w:tcW w:type="dxa" w:w="8800"/>
            <w:tcBorders>
              <w:top w:val="dashed"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i/>
                <w:iCs/>
                <w:color w:val="555555"/>
                <w:sz w:val="18"/>
                <w:szCs w:val="18"/>
              </w:rPr>
              <w:t xml:space="preserve">Source(s): Hall (1966) — personal space zone definitions (0.45–3.6m ranges); Syrdal et al. (2007) AISB — humans prefer 1.5–2× more distance from robots; Mead &amp; Mataric (2017) IJSR — robot-specific proxemics 1.2–2.0m.</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tblCellMar>
      </w:tblPr>
      <w:tblGrid>
        <w:gridCol w:w="560"/>
        <w:gridCol w:w="8800"/>
      </w:tblGrid>
      <w:tr>
        <w:tc>
          <w:tcPr>
            <w:tcW w:type="dxa" w:w="560"/>
            <w:tcBorders>
              <w:top w:val="none" w:color="FFFFFF" w:sz="0"/>
              <w:left w:val="none" w:color="FFFFFF" w:sz="0"/>
              <w:bottom w:val="none" w:color="FFFFFF" w:sz="0"/>
              <w:right w:val="none" w:color="FFFFFF" w:sz="0"/>
            </w:tcBorders>
            <w:shd w:fill="AED6F1" w:val="clear"/>
            <w:tcMar>
              <w:top w:type="dxa" w:w="80"/>
              <w:left w:type="dxa" w:w="160"/>
              <w:bottom w:type="dxa" w:w="80"/>
              <w:right w:type="dxa" w:w="80"/>
            </w:tcMar>
          </w:tcPr>
          <w:p>
            <w:pPr>
              <w:jc w:val="center"/>
            </w:pPr>
            <w:r>
              <w:rPr>
                <w:rFonts w:ascii="Arial" w:cs="Arial" w:eastAsia="Arial" w:hAnsi="Arial"/>
                <w:b/>
                <w:bCs/>
                <w:color w:val="FFFFFF"/>
                <w:sz w:val="22"/>
                <w:szCs w:val="22"/>
              </w:rPr>
              <w:t xml:space="preserve">Q2</w:t>
            </w:r>
          </w:p>
        </w:tc>
        <w:tc>
          <w:tcPr>
            <w:tcW w:type="dxa" w:w="8800"/>
            <w:tcBorders>
              <w:top w:val="none" w:color="FFFFFF" w:sz="0"/>
              <w:left w:val="none" w:color="FFFFFF" w:sz="0"/>
              <w:bottom w:val="none" w:color="FFFFFF" w:sz="0"/>
              <w:right w:val="none" w:color="FFFFFF" w:sz="0"/>
            </w:tcBorders>
            <w:shd w:fill="D6E4F0" w:val="clear"/>
            <w:tcMar>
              <w:top w:type="dxa" w:w="100"/>
              <w:left w:type="dxa" w:w="160"/>
              <w:bottom w:type="dxa" w:w="100"/>
              <w:right w:type="dxa" w:w="160"/>
            </w:tcMar>
          </w:tcPr>
          <w:p>
            <w:r>
              <w:rPr>
                <w:rFonts w:ascii="Arial" w:cs="Arial" w:eastAsia="Arial" w:hAnsi="Arial"/>
                <w:b/>
                <w:bCs/>
                <w:color w:val="1F4E79"/>
                <w:sz w:val="22"/>
                <w:szCs w:val="22"/>
              </w:rPr>
              <w:t xml:space="preserve">Why is the back scale factor only 1.5× compared to 4.0× for the front?</w:t>
            </w:r>
          </w:p>
        </w:tc>
      </w:tr>
      <w:tr>
        <w:tc>
          <w:tcPr>
            <w:tcW w:type="dxa" w:w="560"/>
            <w:tcBorders>
              <w:top w:val="none" w:color="FFFFFF" w:sz="0"/>
              <w:left w:val="none" w:color="FFFFFF" w:sz="0"/>
              <w:bottom w:val="none" w:color="FFFFFF" w:sz="0"/>
              <w:right w:val="none" w:color="FFFFFF" w:sz="0"/>
            </w:tcBorders>
            <w:shd w:fill="E8F4FD" w:val="clear"/>
            <w:tcMar>
              <w:top w:type="dxa" w:w="80"/>
              <w:left w:type="dxa" w:w="160"/>
              <w:bottom w:type="dxa" w:w="80"/>
              <w:right w:type="dxa" w:w="80"/>
            </w:tcMar>
          </w:tcPr>
          <w:p>
            <w:pPr>
              <w:jc w:val="center"/>
            </w:pPr>
            <w:r>
              <w:rPr>
                <w:rFonts w:ascii="Arial" w:cs="Arial" w:eastAsia="Arial" w:hAnsi="Arial"/>
                <w:b/>
                <w:bCs/>
                <w:color w:val="2E75B6"/>
                <w:sz w:val="22"/>
                <w:szCs w:val="22"/>
              </w:rPr>
              <w:t xml:space="preserve">A</w:t>
            </w:r>
          </w:p>
        </w:tc>
        <w:tc>
          <w:tcPr>
            <w:tcW w:type="dxa" w:w="8800"/>
            <w:tcBorders>
              <w:top w:val="none" w:color="FFFFFF" w:sz="0"/>
              <w:left w:val="none" w:color="FFFFFF" w:sz="0"/>
              <w:bottom w:val="none" w:color="FFFFFF" w:sz="0"/>
              <w:right w:val="none" w:color="FFFFFF" w:sz="0"/>
            </w:tcBorders>
            <w:shd w:fill="E8F4FD" w:val="clear"/>
            <w:tcMar>
              <w:top w:type="dxa" w:w="100"/>
              <w:left w:type="dxa" w:w="160"/>
              <w:bottom w:type="dxa" w:w="100"/>
              <w:right w:type="dxa" w:w="160"/>
            </w:tcMar>
          </w:tcPr>
          <w:p>
            <w:r>
              <w:rPr>
                <w:rFonts w:ascii="Arial" w:cs="Arial" w:eastAsia="Arial" w:hAnsi="Arial"/>
                <w:color w:val="333333"/>
                <w:sz w:val="20"/>
                <w:szCs w:val="20"/>
              </w:rPr>
              <w:t xml:space="preserve">The raw back distance (0.41m) reflects genuine queueing behaviour — people naturally stand very close behind each other in queues and crowds. This is real observed human behaviour, not a data artifact. The back zone only needed a modest increase (×1.5 → 0.62m) to account for robot body clearance — the physical space the robot needs to not bump into people. Making the back zone as large as the front would be over-conservative and would penalise paths that approach from behind, which is often the safest direction.</w:t>
            </w:r>
          </w:p>
        </w:tc>
      </w:tr>
      <w:tr>
        <w:tc>
          <w:tcPr>
            <w:tcW w:type="dxa" w:w="560"/>
            <w:tcBorders>
              <w:top w:val="none" w:color="FFFFFF" w:sz="0"/>
              <w:left w:val="none" w:color="FFFFFF" w:sz="0"/>
              <w:bottom w:val="none" w:color="FFFFFF" w:sz="0"/>
              <w:right w:val="none" w:color="FFFFFF" w:sz="0"/>
            </w:tcBorders>
            <w:shd w:fill="F5F5F5" w:val="clear"/>
            <w:tcMar>
              <w:top w:type="dxa" w:w="60"/>
              <w:left w:type="dxa" w:w="160"/>
              <w:bottom w:type="dxa" w:w="60"/>
              <w:right w:type="dxa" w:w="80"/>
            </w:tcMar>
          </w:tcPr>
          <w:p>
            <w:r>
              <w:rPr>
                <w:rFonts w:ascii="Arial" w:cs="Arial" w:eastAsia="Arial" w:hAnsi="Arial"/>
                <w:sz w:val="18"/>
                <w:szCs w:val="18"/>
              </w:rPr>
              <w:t xml:space="preserve">📚</w:t>
            </w:r>
          </w:p>
        </w:tc>
        <w:tc>
          <w:tcPr>
            <w:tcW w:type="dxa" w:w="8800"/>
            <w:tcBorders>
              <w:top w:val="dashed"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i/>
                <w:iCs/>
                <w:color w:val="555555"/>
                <w:sz w:val="18"/>
                <w:szCs w:val="18"/>
              </w:rPr>
              <w:t xml:space="preserve">Source(s): Kirby (2010) CMU thesis — robot body clearance requirements; Hall (1966) — back-zone tolerance in social contexts; scale_zones.py documentation.</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tblCellMar>
      </w:tblPr>
      <w:tblGrid>
        <w:gridCol w:w="560"/>
        <w:gridCol w:w="8800"/>
      </w:tblGrid>
      <w:tr>
        <w:tc>
          <w:tcPr>
            <w:tcW w:type="dxa" w:w="560"/>
            <w:tcBorders>
              <w:top w:val="none" w:color="FFFFFF" w:sz="0"/>
              <w:left w:val="none" w:color="FFFFFF" w:sz="0"/>
              <w:bottom w:val="none" w:color="FFFFFF" w:sz="0"/>
              <w:right w:val="none" w:color="FFFFFF" w:sz="0"/>
            </w:tcBorders>
            <w:shd w:fill="AED6F1" w:val="clear"/>
            <w:tcMar>
              <w:top w:type="dxa" w:w="80"/>
              <w:left w:type="dxa" w:w="160"/>
              <w:bottom w:type="dxa" w:w="80"/>
              <w:right w:type="dxa" w:w="80"/>
            </w:tcMar>
          </w:tcPr>
          <w:p>
            <w:pPr>
              <w:jc w:val="center"/>
            </w:pPr>
            <w:r>
              <w:rPr>
                <w:rFonts w:ascii="Arial" w:cs="Arial" w:eastAsia="Arial" w:hAnsi="Arial"/>
                <w:b/>
                <w:bCs/>
                <w:color w:val="FFFFFF"/>
                <w:sz w:val="22"/>
                <w:szCs w:val="22"/>
              </w:rPr>
              <w:t xml:space="preserve">Q3</w:t>
            </w:r>
          </w:p>
        </w:tc>
        <w:tc>
          <w:tcPr>
            <w:tcW w:type="dxa" w:w="8800"/>
            <w:tcBorders>
              <w:top w:val="none" w:color="FFFFFF" w:sz="0"/>
              <w:left w:val="none" w:color="FFFFFF" w:sz="0"/>
              <w:bottom w:val="none" w:color="FFFFFF" w:sz="0"/>
              <w:right w:val="none" w:color="FFFFFF" w:sz="0"/>
            </w:tcBorders>
            <w:shd w:fill="D6E4F0" w:val="clear"/>
            <w:tcMar>
              <w:top w:type="dxa" w:w="100"/>
              <w:left w:type="dxa" w:w="160"/>
              <w:bottom w:type="dxa" w:w="100"/>
              <w:right w:type="dxa" w:w="160"/>
            </w:tcMar>
          </w:tcPr>
          <w:p>
            <w:r>
              <w:rPr>
                <w:rFonts w:ascii="Arial" w:cs="Arial" w:eastAsia="Arial" w:hAnsi="Arial"/>
                <w:b/>
                <w:bCs/>
                <w:color w:val="1F4E79"/>
                <w:sz w:val="22"/>
                <w:szCs w:val="22"/>
              </w:rPr>
              <w:t xml:space="preserve">Why do the sides scale by 1.3× and end up at 1.26m and 1.21m?</w:t>
            </w:r>
          </w:p>
        </w:tc>
      </w:tr>
      <w:tr>
        <w:tc>
          <w:tcPr>
            <w:tcW w:type="dxa" w:w="560"/>
            <w:tcBorders>
              <w:top w:val="none" w:color="FFFFFF" w:sz="0"/>
              <w:left w:val="none" w:color="FFFFFF" w:sz="0"/>
              <w:bottom w:val="none" w:color="FFFFFF" w:sz="0"/>
              <w:right w:val="none" w:color="FFFFFF" w:sz="0"/>
            </w:tcBorders>
            <w:shd w:fill="E8F4FD" w:val="clear"/>
            <w:tcMar>
              <w:top w:type="dxa" w:w="80"/>
              <w:left w:type="dxa" w:w="160"/>
              <w:bottom w:type="dxa" w:w="80"/>
              <w:right w:type="dxa" w:w="80"/>
            </w:tcMar>
          </w:tcPr>
          <w:p>
            <w:pPr>
              <w:jc w:val="center"/>
            </w:pPr>
            <w:r>
              <w:rPr>
                <w:rFonts w:ascii="Arial" w:cs="Arial" w:eastAsia="Arial" w:hAnsi="Arial"/>
                <w:b/>
                <w:bCs/>
                <w:color w:val="2E75B6"/>
                <w:sz w:val="22"/>
                <w:szCs w:val="22"/>
              </w:rPr>
              <w:t xml:space="preserve">A</w:t>
            </w:r>
          </w:p>
        </w:tc>
        <w:tc>
          <w:tcPr>
            <w:tcW w:type="dxa" w:w="8800"/>
            <w:tcBorders>
              <w:top w:val="none" w:color="FFFFFF" w:sz="0"/>
              <w:left w:val="none" w:color="FFFFFF" w:sz="0"/>
              <w:bottom w:val="none" w:color="FFFFFF" w:sz="0"/>
              <w:right w:val="none" w:color="FFFFFF" w:sz="0"/>
            </w:tcBorders>
            <w:shd w:fill="E8F4FD" w:val="clear"/>
            <w:tcMar>
              <w:top w:type="dxa" w:w="100"/>
              <w:left w:type="dxa" w:w="160"/>
              <w:bottom w:type="dxa" w:w="100"/>
              <w:right w:type="dxa" w:w="160"/>
            </w:tcMar>
          </w:tcPr>
          <w:p>
            <w:r>
              <w:rPr>
                <w:rFonts w:ascii="Arial" w:cs="Arial" w:eastAsia="Arial" w:hAnsi="Arial"/>
                <w:color w:val="333333"/>
                <w:sz w:val="20"/>
                <w:szCs w:val="20"/>
              </w:rPr>
              <w:t xml:space="preserve">The raw side distances (0.97m left, 0.93m right) are already in a reasonable range — people maintain roughly arm's-length separation side-to-side during normal walking. The ×1.3 scale factor brings these to ~1.26m and ~1.21m, which aligns with the 1.2m radius used in my circular baseline planner. This was a deliberate design choice: the side zones serve as the reference calibration point so that the circular and asymmetric planners agree on lateral clearance, making the front/back differences the clean independent variable.</w:t>
            </w:r>
          </w:p>
        </w:tc>
      </w:tr>
      <w:tr>
        <w:tc>
          <w:tcPr>
            <w:tcW w:type="dxa" w:w="560"/>
            <w:tcBorders>
              <w:top w:val="none" w:color="FFFFFF" w:sz="0"/>
              <w:left w:val="none" w:color="FFFFFF" w:sz="0"/>
              <w:bottom w:val="none" w:color="FFFFFF" w:sz="0"/>
              <w:right w:val="none" w:color="FFFFFF" w:sz="0"/>
            </w:tcBorders>
            <w:shd w:fill="F5F5F5" w:val="clear"/>
            <w:tcMar>
              <w:top w:type="dxa" w:w="60"/>
              <w:left w:type="dxa" w:w="160"/>
              <w:bottom w:type="dxa" w:w="60"/>
              <w:right w:type="dxa" w:w="80"/>
            </w:tcMar>
          </w:tcPr>
          <w:p>
            <w:r>
              <w:rPr>
                <w:rFonts w:ascii="Arial" w:cs="Arial" w:eastAsia="Arial" w:hAnsi="Arial"/>
                <w:sz w:val="18"/>
                <w:szCs w:val="18"/>
              </w:rPr>
              <w:t xml:space="preserve">📚</w:t>
            </w:r>
          </w:p>
        </w:tc>
        <w:tc>
          <w:tcPr>
            <w:tcW w:type="dxa" w:w="8800"/>
            <w:tcBorders>
              <w:top w:val="dashed"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i/>
                <w:iCs/>
                <w:color w:val="555555"/>
                <w:sz w:val="18"/>
                <w:szCs w:val="18"/>
              </w:rPr>
              <w:t xml:space="preserve">Source(s): Syrdal et al. (2007) — side-zone human-robot preferences; circular baseline radius of 1.2m from Sisbot et al. (2007) and Kirby (2010).</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tblCellMar>
      </w:tblPr>
      <w:tblGrid>
        <w:gridCol w:w="560"/>
        <w:gridCol w:w="8800"/>
      </w:tblGrid>
      <w:tr>
        <w:tc>
          <w:tcPr>
            <w:tcW w:type="dxa" w:w="560"/>
            <w:tcBorders>
              <w:top w:val="none" w:color="FFFFFF" w:sz="0"/>
              <w:left w:val="none" w:color="FFFFFF" w:sz="0"/>
              <w:bottom w:val="none" w:color="FFFFFF" w:sz="0"/>
              <w:right w:val="none" w:color="FFFFFF" w:sz="0"/>
            </w:tcBorders>
            <w:shd w:fill="AED6F1" w:val="clear"/>
            <w:tcMar>
              <w:top w:type="dxa" w:w="80"/>
              <w:left w:type="dxa" w:w="160"/>
              <w:bottom w:type="dxa" w:w="80"/>
              <w:right w:type="dxa" w:w="80"/>
            </w:tcMar>
          </w:tcPr>
          <w:p>
            <w:pPr>
              <w:jc w:val="center"/>
            </w:pPr>
            <w:r>
              <w:rPr>
                <w:rFonts w:ascii="Arial" w:cs="Arial" w:eastAsia="Arial" w:hAnsi="Arial"/>
                <w:b/>
                <w:bCs/>
                <w:color w:val="FFFFFF"/>
                <w:sz w:val="22"/>
                <w:szCs w:val="22"/>
              </w:rPr>
              <w:t xml:space="preserve">Q4</w:t>
            </w:r>
          </w:p>
        </w:tc>
        <w:tc>
          <w:tcPr>
            <w:tcW w:type="dxa" w:w="8800"/>
            <w:tcBorders>
              <w:top w:val="none" w:color="FFFFFF" w:sz="0"/>
              <w:left w:val="none" w:color="FFFFFF" w:sz="0"/>
              <w:bottom w:val="none" w:color="FFFFFF" w:sz="0"/>
              <w:right w:val="none" w:color="FFFFFF" w:sz="0"/>
            </w:tcBorders>
            <w:shd w:fill="D6E4F0" w:val="clear"/>
            <w:tcMar>
              <w:top w:type="dxa" w:w="100"/>
              <w:left w:type="dxa" w:w="160"/>
              <w:bottom w:type="dxa" w:w="100"/>
              <w:right w:type="dxa" w:w="160"/>
            </w:tcMar>
          </w:tcPr>
          <w:p>
            <w:r>
              <w:rPr>
                <w:rFonts w:ascii="Arial" w:cs="Arial" w:eastAsia="Arial" w:hAnsi="Arial"/>
                <w:b/>
                <w:bCs/>
                <w:color w:val="1F4E79"/>
                <w:sz w:val="22"/>
                <w:szCs w:val="22"/>
              </w:rPr>
              <w:t xml:space="preserve">Isn't the choice of scale factors subjective? How do you defend them?</w:t>
            </w:r>
          </w:p>
        </w:tc>
      </w:tr>
      <w:tr>
        <w:tc>
          <w:tcPr>
            <w:tcW w:type="dxa" w:w="560"/>
            <w:tcBorders>
              <w:top w:val="none" w:color="FFFFFF" w:sz="0"/>
              <w:left w:val="none" w:color="FFFFFF" w:sz="0"/>
              <w:bottom w:val="none" w:color="FFFFFF" w:sz="0"/>
              <w:right w:val="none" w:color="FFFFFF" w:sz="0"/>
            </w:tcBorders>
            <w:shd w:fill="E8F4FD" w:val="clear"/>
            <w:tcMar>
              <w:top w:type="dxa" w:w="80"/>
              <w:left w:type="dxa" w:w="160"/>
              <w:bottom w:type="dxa" w:w="80"/>
              <w:right w:type="dxa" w:w="80"/>
            </w:tcMar>
          </w:tcPr>
          <w:p>
            <w:pPr>
              <w:jc w:val="center"/>
            </w:pPr>
            <w:r>
              <w:rPr>
                <w:rFonts w:ascii="Arial" w:cs="Arial" w:eastAsia="Arial" w:hAnsi="Arial"/>
                <w:b/>
                <w:bCs/>
                <w:color w:val="2E75B6"/>
                <w:sz w:val="22"/>
                <w:szCs w:val="22"/>
              </w:rPr>
              <w:t xml:space="preserve">A</w:t>
            </w:r>
          </w:p>
        </w:tc>
        <w:tc>
          <w:tcPr>
            <w:tcW w:type="dxa" w:w="8800"/>
            <w:tcBorders>
              <w:top w:val="none" w:color="FFFFFF" w:sz="0"/>
              <w:left w:val="none" w:color="FFFFFF" w:sz="0"/>
              <w:bottom w:val="none" w:color="FFFFFF" w:sz="0"/>
              <w:right w:val="none" w:color="FFFFFF" w:sz="0"/>
            </w:tcBorders>
            <w:shd w:fill="E8F4FD" w:val="clear"/>
            <w:tcMar>
              <w:top w:type="dxa" w:w="100"/>
              <w:left w:type="dxa" w:w="160"/>
              <w:bottom w:type="dxa" w:w="100"/>
              <w:right w:type="dxa" w:w="160"/>
            </w:tcMar>
          </w:tcPr>
          <w:p>
            <w:r>
              <w:rPr>
                <w:rFonts w:ascii="Arial" w:cs="Arial" w:eastAsia="Arial" w:hAnsi="Arial"/>
                <w:color w:val="333333"/>
                <w:sz w:val="20"/>
                <w:szCs w:val="20"/>
              </w:rPr>
              <w:t xml:space="preserve">The scale factors are a methodological choice, justified by the literature, not arbitrary. Each factor maps directly to a published reference: the front ×4.0 is grounded in Hall (1966) zone boundaries and Syrdal et al. (2007) robot proxemics; the back ×1.5 reflects minimal clearance above observed queueing; the sides ×1.3 calibrate to an established robot navigation baseline. The key validation is that the resulting zones produce measurably better navigation outcomes (92% vs 85% success) — so they are empirically justified by results, not just theoretically.</w:t>
            </w:r>
          </w:p>
        </w:tc>
      </w:tr>
      <w:tr>
        <w:tc>
          <w:tcPr>
            <w:tcW w:type="dxa" w:w="560"/>
            <w:tcBorders>
              <w:top w:val="none" w:color="FFFFFF" w:sz="0"/>
              <w:left w:val="none" w:color="FFFFFF" w:sz="0"/>
              <w:bottom w:val="none" w:color="FFFFFF" w:sz="0"/>
              <w:right w:val="none" w:color="FFFFFF" w:sz="0"/>
            </w:tcBorders>
            <w:shd w:fill="F5F5F5" w:val="clear"/>
            <w:tcMar>
              <w:top w:type="dxa" w:w="60"/>
              <w:left w:type="dxa" w:w="160"/>
              <w:bottom w:type="dxa" w:w="60"/>
              <w:right w:type="dxa" w:w="80"/>
            </w:tcMar>
          </w:tcPr>
          <w:p>
            <w:r>
              <w:rPr>
                <w:rFonts w:ascii="Arial" w:cs="Arial" w:eastAsia="Arial" w:hAnsi="Arial"/>
                <w:sz w:val="18"/>
                <w:szCs w:val="18"/>
              </w:rPr>
              <w:t xml:space="preserve">📚</w:t>
            </w:r>
          </w:p>
        </w:tc>
        <w:tc>
          <w:tcPr>
            <w:tcW w:type="dxa" w:w="8800"/>
            <w:tcBorders>
              <w:top w:val="dashed"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i/>
                <w:iCs/>
                <w:color w:val="555555"/>
                <w:sz w:val="18"/>
                <w:szCs w:val="18"/>
              </w:rPr>
              <w:t xml:space="preserve">Source(s): Hall (1966); Syrdal et al. (2007); Mead &amp; Mataric (2017); Kirby (2010); validated by navigation experiment results (Section 3).</w:t>
            </w:r>
          </w:p>
        </w:tc>
      </w:tr>
    </w:tbl>
    <w:p>
      <w:pPr>
        <w:spacing w:before="0" w:after="0"/>
      </w:pPr>
      <w:r>
        <w:t xml:space="preserve"/>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60"/>
              <w:left w:type="dxa" w:w="200"/>
              <w:bottom w:type="dxa" w:w="160"/>
              <w:right w:type="dxa" w:w="200"/>
            </w:tcMar>
          </w:tcPr>
          <w:p>
            <w:r>
              <w:rPr>
                <w:rFonts w:ascii="Arial" w:cs="Arial" w:eastAsia="Arial" w:hAnsi="Arial"/>
                <w:b/>
                <w:bCs/>
                <w:color w:val="FFFFFF"/>
                <w:sz w:val="28"/>
                <w:szCs w:val="28"/>
              </w:rPr>
              <w:t xml:space="preserve">CATEGORY 4: METHODOLOGY &amp; TECHNICAL APPROACH</w:t>
            </w:r>
          </w:p>
          <w:p>
            <w:r>
              <w:rPr>
                <w:rFonts w:ascii="Arial" w:cs="Arial" w:eastAsia="Arial" w:hAnsi="Arial"/>
                <w:i/>
                <w:iCs/>
                <w:color w:val="BDC3C7"/>
                <w:sz w:val="20"/>
                <w:szCs w:val="20"/>
              </w:rPr>
              <w:t xml:space="preserve">How the system works at a conceptual level</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tblCellMar>
      </w:tblPr>
      <w:tblGrid>
        <w:gridCol w:w="560"/>
        <w:gridCol w:w="8800"/>
      </w:tblGrid>
      <w:tr>
        <w:tc>
          <w:tcPr>
            <w:tcW w:type="dxa" w:w="560"/>
            <w:tcBorders>
              <w:top w:val="none" w:color="FFFFFF" w:sz="0"/>
              <w:left w:val="none" w:color="FFFFFF" w:sz="0"/>
              <w:bottom w:val="none" w:color="FFFFFF" w:sz="0"/>
              <w:right w:val="none" w:color="FFFFFF" w:sz="0"/>
            </w:tcBorders>
            <w:shd w:fill="AED6F1" w:val="clear"/>
            <w:tcMar>
              <w:top w:type="dxa" w:w="80"/>
              <w:left w:type="dxa" w:w="160"/>
              <w:bottom w:type="dxa" w:w="80"/>
              <w:right w:type="dxa" w:w="80"/>
            </w:tcMar>
          </w:tcPr>
          <w:p>
            <w:pPr>
              <w:jc w:val="center"/>
            </w:pPr>
            <w:r>
              <w:rPr>
                <w:rFonts w:ascii="Arial" w:cs="Arial" w:eastAsia="Arial" w:hAnsi="Arial"/>
                <w:b/>
                <w:bCs/>
                <w:color w:val="FFFFFF"/>
                <w:sz w:val="22"/>
                <w:szCs w:val="22"/>
              </w:rPr>
              <w:t xml:space="preserve">Q1</w:t>
            </w:r>
          </w:p>
        </w:tc>
        <w:tc>
          <w:tcPr>
            <w:tcW w:type="dxa" w:w="8800"/>
            <w:tcBorders>
              <w:top w:val="none" w:color="FFFFFF" w:sz="0"/>
              <w:left w:val="none" w:color="FFFFFF" w:sz="0"/>
              <w:bottom w:val="none" w:color="FFFFFF" w:sz="0"/>
              <w:right w:val="none" w:color="FFFFFF" w:sz="0"/>
            </w:tcBorders>
            <w:shd w:fill="D6E4F0" w:val="clear"/>
            <w:tcMar>
              <w:top w:type="dxa" w:w="100"/>
              <w:left w:type="dxa" w:w="160"/>
              <w:bottom w:type="dxa" w:w="100"/>
              <w:right w:type="dxa" w:w="160"/>
            </w:tcMar>
          </w:tcPr>
          <w:p>
            <w:r>
              <w:rPr>
                <w:rFonts w:ascii="Arial" w:cs="Arial" w:eastAsia="Arial" w:hAnsi="Arial"/>
                <w:b/>
                <w:bCs/>
                <w:color w:val="1F4E79"/>
                <w:sz w:val="22"/>
                <w:szCs w:val="22"/>
              </w:rPr>
              <w:t xml:space="preserve">What is an A* planner and why did you use it?</w:t>
            </w:r>
          </w:p>
        </w:tc>
      </w:tr>
      <w:tr>
        <w:tc>
          <w:tcPr>
            <w:tcW w:type="dxa" w:w="560"/>
            <w:tcBorders>
              <w:top w:val="none" w:color="FFFFFF" w:sz="0"/>
              <w:left w:val="none" w:color="FFFFFF" w:sz="0"/>
              <w:bottom w:val="none" w:color="FFFFFF" w:sz="0"/>
              <w:right w:val="none" w:color="FFFFFF" w:sz="0"/>
            </w:tcBorders>
            <w:shd w:fill="E8F4FD" w:val="clear"/>
            <w:tcMar>
              <w:top w:type="dxa" w:w="80"/>
              <w:left w:type="dxa" w:w="160"/>
              <w:bottom w:type="dxa" w:w="80"/>
              <w:right w:type="dxa" w:w="80"/>
            </w:tcMar>
          </w:tcPr>
          <w:p>
            <w:pPr>
              <w:jc w:val="center"/>
            </w:pPr>
            <w:r>
              <w:rPr>
                <w:rFonts w:ascii="Arial" w:cs="Arial" w:eastAsia="Arial" w:hAnsi="Arial"/>
                <w:b/>
                <w:bCs/>
                <w:color w:val="2E75B6"/>
                <w:sz w:val="22"/>
                <w:szCs w:val="22"/>
              </w:rPr>
              <w:t xml:space="preserve">A</w:t>
            </w:r>
          </w:p>
        </w:tc>
        <w:tc>
          <w:tcPr>
            <w:tcW w:type="dxa" w:w="8800"/>
            <w:tcBorders>
              <w:top w:val="none" w:color="FFFFFF" w:sz="0"/>
              <w:left w:val="none" w:color="FFFFFF" w:sz="0"/>
              <w:bottom w:val="none" w:color="FFFFFF" w:sz="0"/>
              <w:right w:val="none" w:color="FFFFFF" w:sz="0"/>
            </w:tcBorders>
            <w:shd w:fill="E8F4FD" w:val="clear"/>
            <w:tcMar>
              <w:top w:type="dxa" w:w="100"/>
              <w:left w:type="dxa" w:w="160"/>
              <w:bottom w:type="dxa" w:w="100"/>
              <w:right w:type="dxa" w:w="160"/>
            </w:tcMar>
          </w:tcPr>
          <w:p>
            <w:r>
              <w:rPr>
                <w:rFonts w:ascii="Arial" w:cs="Arial" w:eastAsia="Arial" w:hAnsi="Arial"/>
                <w:color w:val="333333"/>
                <w:sz w:val="20"/>
                <w:szCs w:val="20"/>
              </w:rPr>
              <w:t xml:space="preserve">A* (pronounced 'A-star') is a graph search algorithm that finds the shortest path between two points while minimising a cost function. It is the standard algorithm for grid-based robot path planning because it is guaranteed to find the optimal path if one exists, and it is computationally efficient. Hart et al. (1968) first formalised it. I chose A* because it naturally accommodates a social cost function — instead of just minimising distance, the planner also penalises paths that pass through pedestrians' personal space zones.</w:t>
            </w:r>
          </w:p>
        </w:tc>
      </w:tr>
      <w:tr>
        <w:tc>
          <w:tcPr>
            <w:tcW w:type="dxa" w:w="560"/>
            <w:tcBorders>
              <w:top w:val="none" w:color="FFFFFF" w:sz="0"/>
              <w:left w:val="none" w:color="FFFFFF" w:sz="0"/>
              <w:bottom w:val="none" w:color="FFFFFF" w:sz="0"/>
              <w:right w:val="none" w:color="FFFFFF" w:sz="0"/>
            </w:tcBorders>
            <w:shd w:fill="F5F5F5" w:val="clear"/>
            <w:tcMar>
              <w:top w:type="dxa" w:w="60"/>
              <w:left w:type="dxa" w:w="160"/>
              <w:bottom w:type="dxa" w:w="60"/>
              <w:right w:type="dxa" w:w="80"/>
            </w:tcMar>
          </w:tcPr>
          <w:p>
            <w:r>
              <w:rPr>
                <w:rFonts w:ascii="Arial" w:cs="Arial" w:eastAsia="Arial" w:hAnsi="Arial"/>
                <w:sz w:val="18"/>
                <w:szCs w:val="18"/>
              </w:rPr>
              <w:t xml:space="preserve">📚</w:t>
            </w:r>
          </w:p>
        </w:tc>
        <w:tc>
          <w:tcPr>
            <w:tcW w:type="dxa" w:w="8800"/>
            <w:tcBorders>
              <w:top w:val="dashed"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i/>
                <w:iCs/>
                <w:color w:val="555555"/>
                <w:sz w:val="18"/>
                <w:szCs w:val="18"/>
              </w:rPr>
              <w:t xml:space="preserve">Source(s): Hart, Nilsson &amp; Raphael (1968) IEEE T-SSC — original A* algorithm paper; Sisbot et al. (2007) — A* with social cost functions for human-aware navigation.</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tblCellMar>
      </w:tblPr>
      <w:tblGrid>
        <w:gridCol w:w="560"/>
        <w:gridCol w:w="8800"/>
      </w:tblGrid>
      <w:tr>
        <w:tc>
          <w:tcPr>
            <w:tcW w:type="dxa" w:w="560"/>
            <w:tcBorders>
              <w:top w:val="none" w:color="FFFFFF" w:sz="0"/>
              <w:left w:val="none" w:color="FFFFFF" w:sz="0"/>
              <w:bottom w:val="none" w:color="FFFFFF" w:sz="0"/>
              <w:right w:val="none" w:color="FFFFFF" w:sz="0"/>
            </w:tcBorders>
            <w:shd w:fill="AED6F1" w:val="clear"/>
            <w:tcMar>
              <w:top w:type="dxa" w:w="80"/>
              <w:left w:type="dxa" w:w="160"/>
              <w:bottom w:type="dxa" w:w="80"/>
              <w:right w:type="dxa" w:w="80"/>
            </w:tcMar>
          </w:tcPr>
          <w:p>
            <w:pPr>
              <w:jc w:val="center"/>
            </w:pPr>
            <w:r>
              <w:rPr>
                <w:rFonts w:ascii="Arial" w:cs="Arial" w:eastAsia="Arial" w:hAnsi="Arial"/>
                <w:b/>
                <w:bCs/>
                <w:color w:val="FFFFFF"/>
                <w:sz w:val="22"/>
                <w:szCs w:val="22"/>
              </w:rPr>
              <w:t xml:space="preserve">Q2</w:t>
            </w:r>
          </w:p>
        </w:tc>
        <w:tc>
          <w:tcPr>
            <w:tcW w:type="dxa" w:w="8800"/>
            <w:tcBorders>
              <w:top w:val="none" w:color="FFFFFF" w:sz="0"/>
              <w:left w:val="none" w:color="FFFFFF" w:sz="0"/>
              <w:bottom w:val="none" w:color="FFFFFF" w:sz="0"/>
              <w:right w:val="none" w:color="FFFFFF" w:sz="0"/>
            </w:tcBorders>
            <w:shd w:fill="D6E4F0" w:val="clear"/>
            <w:tcMar>
              <w:top w:type="dxa" w:w="100"/>
              <w:left w:type="dxa" w:w="160"/>
              <w:bottom w:type="dxa" w:w="100"/>
              <w:right w:type="dxa" w:w="160"/>
            </w:tcMar>
          </w:tcPr>
          <w:p>
            <w:r>
              <w:rPr>
                <w:rFonts w:ascii="Arial" w:cs="Arial" w:eastAsia="Arial" w:hAnsi="Arial"/>
                <w:b/>
                <w:bCs/>
                <w:color w:val="1F4E79"/>
                <w:sz w:val="22"/>
                <w:szCs w:val="22"/>
              </w:rPr>
              <w:t xml:space="preserve">What is a 'social cost function' and how does the exponential formula work?</w:t>
            </w:r>
          </w:p>
        </w:tc>
      </w:tr>
      <w:tr>
        <w:tc>
          <w:tcPr>
            <w:tcW w:type="dxa" w:w="560"/>
            <w:tcBorders>
              <w:top w:val="none" w:color="FFFFFF" w:sz="0"/>
              <w:left w:val="none" w:color="FFFFFF" w:sz="0"/>
              <w:bottom w:val="none" w:color="FFFFFF" w:sz="0"/>
              <w:right w:val="none" w:color="FFFFFF" w:sz="0"/>
            </w:tcBorders>
            <w:shd w:fill="E8F4FD" w:val="clear"/>
            <w:tcMar>
              <w:top w:type="dxa" w:w="80"/>
              <w:left w:type="dxa" w:w="160"/>
              <w:bottom w:type="dxa" w:w="80"/>
              <w:right w:type="dxa" w:w="80"/>
            </w:tcMar>
          </w:tcPr>
          <w:p>
            <w:pPr>
              <w:jc w:val="center"/>
            </w:pPr>
            <w:r>
              <w:rPr>
                <w:rFonts w:ascii="Arial" w:cs="Arial" w:eastAsia="Arial" w:hAnsi="Arial"/>
                <w:b/>
                <w:bCs/>
                <w:color w:val="2E75B6"/>
                <w:sz w:val="22"/>
                <w:szCs w:val="22"/>
              </w:rPr>
              <w:t xml:space="preserve">A</w:t>
            </w:r>
          </w:p>
        </w:tc>
        <w:tc>
          <w:tcPr>
            <w:tcW w:type="dxa" w:w="8800"/>
            <w:tcBorders>
              <w:top w:val="none" w:color="FFFFFF" w:sz="0"/>
              <w:left w:val="none" w:color="FFFFFF" w:sz="0"/>
              <w:bottom w:val="none" w:color="FFFFFF" w:sz="0"/>
              <w:right w:val="none" w:color="FFFFFF" w:sz="0"/>
            </w:tcBorders>
            <w:shd w:fill="E8F4FD" w:val="clear"/>
            <w:tcMar>
              <w:top w:type="dxa" w:w="100"/>
              <w:left w:type="dxa" w:w="160"/>
              <w:bottom w:type="dxa" w:w="100"/>
              <w:right w:type="dxa" w:w="160"/>
            </w:tcMar>
          </w:tcPr>
          <w:p>
            <w:r>
              <w:rPr>
                <w:rFonts w:ascii="Arial" w:cs="Arial" w:eastAsia="Arial" w:hAnsi="Arial"/>
                <w:color w:val="333333"/>
                <w:sz w:val="20"/>
                <w:szCs w:val="20"/>
              </w:rPr>
              <w:t xml:space="preserve">A cost function assigns a numerical penalty to each location in the environment. The planner avoids high-cost areas. My cost function is: cost = exp(required_distance − actual_distance) − 1, applied only when the robot is closer than the required zone distance. If the robot is far away (actual &gt; required), cost = 0. As the robot gets closer to a pedestrian's zone boundary, cost rises exponentially — a small violation carries a small cost, but deep intrusions carry very high costs. This exponential shape means the planner strongly prefers to stay comfortably outside zones rather than cutting close.</w:t>
            </w:r>
          </w:p>
        </w:tc>
      </w:tr>
      <w:tr>
        <w:tc>
          <w:tcPr>
            <w:tcW w:type="dxa" w:w="560"/>
            <w:tcBorders>
              <w:top w:val="none" w:color="FFFFFF" w:sz="0"/>
              <w:left w:val="none" w:color="FFFFFF" w:sz="0"/>
              <w:bottom w:val="none" w:color="FFFFFF" w:sz="0"/>
              <w:right w:val="none" w:color="FFFFFF" w:sz="0"/>
            </w:tcBorders>
            <w:shd w:fill="F5F5F5" w:val="clear"/>
            <w:tcMar>
              <w:top w:type="dxa" w:w="60"/>
              <w:left w:type="dxa" w:w="160"/>
              <w:bottom w:type="dxa" w:w="60"/>
              <w:right w:type="dxa" w:w="80"/>
            </w:tcMar>
          </w:tcPr>
          <w:p>
            <w:r>
              <w:rPr>
                <w:rFonts w:ascii="Arial" w:cs="Arial" w:eastAsia="Arial" w:hAnsi="Arial"/>
                <w:sz w:val="18"/>
                <w:szCs w:val="18"/>
              </w:rPr>
              <w:t xml:space="preserve">📚</w:t>
            </w:r>
          </w:p>
        </w:tc>
        <w:tc>
          <w:tcPr>
            <w:tcW w:type="dxa" w:w="8800"/>
            <w:tcBorders>
              <w:top w:val="dashed"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i/>
                <w:iCs/>
                <w:color w:val="555555"/>
                <w:sz w:val="18"/>
                <w:szCs w:val="18"/>
              </w:rPr>
              <w:t xml:space="preserve">Source(s): Sisbot et al. (2007) — exponential cost function approach for social navigation; social_zone.py implementation.</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tblCellMar>
      </w:tblPr>
      <w:tblGrid>
        <w:gridCol w:w="560"/>
        <w:gridCol w:w="8800"/>
      </w:tblGrid>
      <w:tr>
        <w:tc>
          <w:tcPr>
            <w:tcW w:type="dxa" w:w="560"/>
            <w:tcBorders>
              <w:top w:val="none" w:color="FFFFFF" w:sz="0"/>
              <w:left w:val="none" w:color="FFFFFF" w:sz="0"/>
              <w:bottom w:val="none" w:color="FFFFFF" w:sz="0"/>
              <w:right w:val="none" w:color="FFFFFF" w:sz="0"/>
            </w:tcBorders>
            <w:shd w:fill="AED6F1" w:val="clear"/>
            <w:tcMar>
              <w:top w:type="dxa" w:w="80"/>
              <w:left w:type="dxa" w:w="160"/>
              <w:bottom w:type="dxa" w:w="80"/>
              <w:right w:type="dxa" w:w="80"/>
            </w:tcMar>
          </w:tcPr>
          <w:p>
            <w:pPr>
              <w:jc w:val="center"/>
            </w:pPr>
            <w:r>
              <w:rPr>
                <w:rFonts w:ascii="Arial" w:cs="Arial" w:eastAsia="Arial" w:hAnsi="Arial"/>
                <w:b/>
                <w:bCs/>
                <w:color w:val="FFFFFF"/>
                <w:sz w:val="22"/>
                <w:szCs w:val="22"/>
              </w:rPr>
              <w:t xml:space="preserve">Q3</w:t>
            </w:r>
          </w:p>
        </w:tc>
        <w:tc>
          <w:tcPr>
            <w:tcW w:type="dxa" w:w="8800"/>
            <w:tcBorders>
              <w:top w:val="none" w:color="FFFFFF" w:sz="0"/>
              <w:left w:val="none" w:color="FFFFFF" w:sz="0"/>
              <w:bottom w:val="none" w:color="FFFFFF" w:sz="0"/>
              <w:right w:val="none" w:color="FFFFFF" w:sz="0"/>
            </w:tcBorders>
            <w:shd w:fill="D6E4F0" w:val="clear"/>
            <w:tcMar>
              <w:top w:type="dxa" w:w="100"/>
              <w:left w:type="dxa" w:w="160"/>
              <w:bottom w:type="dxa" w:w="100"/>
              <w:right w:type="dxa" w:w="160"/>
            </w:tcMar>
          </w:tcPr>
          <w:p>
            <w:r>
              <w:rPr>
                <w:rFonts w:ascii="Arial" w:cs="Arial" w:eastAsia="Arial" w:hAnsi="Arial"/>
                <w:b/>
                <w:bCs/>
                <w:color w:val="1F4E79"/>
                <w:sz w:val="22"/>
                <w:szCs w:val="22"/>
              </w:rPr>
              <w:t xml:space="preserve">How does the system know which direction a pedestrian is facing?</w:t>
            </w:r>
          </w:p>
        </w:tc>
      </w:tr>
      <w:tr>
        <w:tc>
          <w:tcPr>
            <w:tcW w:type="dxa" w:w="560"/>
            <w:tcBorders>
              <w:top w:val="none" w:color="FFFFFF" w:sz="0"/>
              <w:left w:val="none" w:color="FFFFFF" w:sz="0"/>
              <w:bottom w:val="none" w:color="FFFFFF" w:sz="0"/>
              <w:right w:val="none" w:color="FFFFFF" w:sz="0"/>
            </w:tcBorders>
            <w:shd w:fill="E8F4FD" w:val="clear"/>
            <w:tcMar>
              <w:top w:type="dxa" w:w="80"/>
              <w:left w:type="dxa" w:w="160"/>
              <w:bottom w:type="dxa" w:w="80"/>
              <w:right w:type="dxa" w:w="80"/>
            </w:tcMar>
          </w:tcPr>
          <w:p>
            <w:pPr>
              <w:jc w:val="center"/>
            </w:pPr>
            <w:r>
              <w:rPr>
                <w:rFonts w:ascii="Arial" w:cs="Arial" w:eastAsia="Arial" w:hAnsi="Arial"/>
                <w:b/>
                <w:bCs/>
                <w:color w:val="2E75B6"/>
                <w:sz w:val="22"/>
                <w:szCs w:val="22"/>
              </w:rPr>
              <w:t xml:space="preserve">A</w:t>
            </w:r>
          </w:p>
        </w:tc>
        <w:tc>
          <w:tcPr>
            <w:tcW w:type="dxa" w:w="8800"/>
            <w:tcBorders>
              <w:top w:val="none" w:color="FFFFFF" w:sz="0"/>
              <w:left w:val="none" w:color="FFFFFF" w:sz="0"/>
              <w:bottom w:val="none" w:color="FFFFFF" w:sz="0"/>
              <w:right w:val="none" w:color="FFFFFF" w:sz="0"/>
            </w:tcBorders>
            <w:shd w:fill="E8F4FD" w:val="clear"/>
            <w:tcMar>
              <w:top w:type="dxa" w:w="100"/>
              <w:left w:type="dxa" w:w="160"/>
              <w:bottom w:type="dxa" w:w="100"/>
              <w:right w:type="dxa" w:w="160"/>
            </w:tcMar>
          </w:tcPr>
          <w:p>
            <w:r>
              <w:rPr>
                <w:rFonts w:ascii="Arial" w:cs="Arial" w:eastAsia="Arial" w:hAnsi="Arial"/>
                <w:color w:val="333333"/>
                <w:sz w:val="20"/>
                <w:szCs w:val="20"/>
              </w:rPr>
              <w:t xml:space="preserve">The system estimates facing direction from the pedestrian's recent movement velocity — the direction they were moving in the previous timestep. This is standard practice in crowd simulation research (used in ORCA and Social Force models). It is an approximation — people sometimes look in directions other than they are moving — but it is the best estimate available from trajectory data without additional sensors like cameras detecting head orientation.</w:t>
            </w:r>
          </w:p>
        </w:tc>
      </w:tr>
      <w:tr>
        <w:tc>
          <w:tcPr>
            <w:tcW w:type="dxa" w:w="560"/>
            <w:tcBorders>
              <w:top w:val="none" w:color="FFFFFF" w:sz="0"/>
              <w:left w:val="none" w:color="FFFFFF" w:sz="0"/>
              <w:bottom w:val="none" w:color="FFFFFF" w:sz="0"/>
              <w:right w:val="none" w:color="FFFFFF" w:sz="0"/>
            </w:tcBorders>
            <w:shd w:fill="F5F5F5" w:val="clear"/>
            <w:tcMar>
              <w:top w:type="dxa" w:w="60"/>
              <w:left w:type="dxa" w:w="160"/>
              <w:bottom w:type="dxa" w:w="60"/>
              <w:right w:type="dxa" w:w="80"/>
            </w:tcMar>
          </w:tcPr>
          <w:p>
            <w:r>
              <w:rPr>
                <w:rFonts w:ascii="Arial" w:cs="Arial" w:eastAsia="Arial" w:hAnsi="Arial"/>
                <w:sz w:val="18"/>
                <w:szCs w:val="18"/>
              </w:rPr>
              <w:t xml:space="preserve">📚</w:t>
            </w:r>
          </w:p>
        </w:tc>
        <w:tc>
          <w:tcPr>
            <w:tcW w:type="dxa" w:w="8800"/>
            <w:tcBorders>
              <w:top w:val="dashed"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i/>
                <w:iCs/>
                <w:color w:val="555555"/>
                <w:sz w:val="18"/>
                <w:szCs w:val="18"/>
              </w:rPr>
              <w:t xml:space="preserve">Source(s): Helbing &amp; Molnar (1995) Social Force model — velocity-based heading estimation; Van den Berg et al. (2011) ORCA — velocity-based pedestrian direction; environment.py implementation.</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tblCellMar>
      </w:tblPr>
      <w:tblGrid>
        <w:gridCol w:w="560"/>
        <w:gridCol w:w="8800"/>
      </w:tblGrid>
      <w:tr>
        <w:tc>
          <w:tcPr>
            <w:tcW w:type="dxa" w:w="560"/>
            <w:tcBorders>
              <w:top w:val="none" w:color="FFFFFF" w:sz="0"/>
              <w:left w:val="none" w:color="FFFFFF" w:sz="0"/>
              <w:bottom w:val="none" w:color="FFFFFF" w:sz="0"/>
              <w:right w:val="none" w:color="FFFFFF" w:sz="0"/>
            </w:tcBorders>
            <w:shd w:fill="AED6F1" w:val="clear"/>
            <w:tcMar>
              <w:top w:type="dxa" w:w="80"/>
              <w:left w:type="dxa" w:w="160"/>
              <w:bottom w:type="dxa" w:w="80"/>
              <w:right w:type="dxa" w:w="80"/>
            </w:tcMar>
          </w:tcPr>
          <w:p>
            <w:pPr>
              <w:jc w:val="center"/>
            </w:pPr>
            <w:r>
              <w:rPr>
                <w:rFonts w:ascii="Arial" w:cs="Arial" w:eastAsia="Arial" w:hAnsi="Arial"/>
                <w:b/>
                <w:bCs/>
                <w:color w:val="FFFFFF"/>
                <w:sz w:val="22"/>
                <w:szCs w:val="22"/>
              </w:rPr>
              <w:t xml:space="preserve">Q4</w:t>
            </w:r>
          </w:p>
        </w:tc>
        <w:tc>
          <w:tcPr>
            <w:tcW w:type="dxa" w:w="8800"/>
            <w:tcBorders>
              <w:top w:val="none" w:color="FFFFFF" w:sz="0"/>
              <w:left w:val="none" w:color="FFFFFF" w:sz="0"/>
              <w:bottom w:val="none" w:color="FFFFFF" w:sz="0"/>
              <w:right w:val="none" w:color="FFFFFF" w:sz="0"/>
            </w:tcBorders>
            <w:shd w:fill="D6E4F0" w:val="clear"/>
            <w:tcMar>
              <w:top w:type="dxa" w:w="100"/>
              <w:left w:type="dxa" w:w="160"/>
              <w:bottom w:type="dxa" w:w="100"/>
              <w:right w:type="dxa" w:w="160"/>
            </w:tcMar>
          </w:tcPr>
          <w:p>
            <w:r>
              <w:rPr>
                <w:rFonts w:ascii="Arial" w:cs="Arial" w:eastAsia="Arial" w:hAnsi="Arial"/>
                <w:b/>
                <w:bCs/>
                <w:color w:val="1F4E79"/>
                <w:sz w:val="22"/>
                <w:szCs w:val="22"/>
              </w:rPr>
              <w:t xml:space="preserve">What are the neural network components and what do they actually do?</w:t>
            </w:r>
          </w:p>
        </w:tc>
      </w:tr>
      <w:tr>
        <w:tc>
          <w:tcPr>
            <w:tcW w:type="dxa" w:w="560"/>
            <w:tcBorders>
              <w:top w:val="none" w:color="FFFFFF" w:sz="0"/>
              <w:left w:val="none" w:color="FFFFFF" w:sz="0"/>
              <w:bottom w:val="none" w:color="FFFFFF" w:sz="0"/>
              <w:right w:val="none" w:color="FFFFFF" w:sz="0"/>
            </w:tcBorders>
            <w:shd w:fill="E8F4FD" w:val="clear"/>
            <w:tcMar>
              <w:top w:type="dxa" w:w="80"/>
              <w:left w:type="dxa" w:w="160"/>
              <w:bottom w:type="dxa" w:w="80"/>
              <w:right w:type="dxa" w:w="80"/>
            </w:tcMar>
          </w:tcPr>
          <w:p>
            <w:pPr>
              <w:jc w:val="center"/>
            </w:pPr>
            <w:r>
              <w:rPr>
                <w:rFonts w:ascii="Arial" w:cs="Arial" w:eastAsia="Arial" w:hAnsi="Arial"/>
                <w:b/>
                <w:bCs/>
                <w:color w:val="2E75B6"/>
                <w:sz w:val="22"/>
                <w:szCs w:val="22"/>
              </w:rPr>
              <w:t xml:space="preserve">A</w:t>
            </w:r>
          </w:p>
        </w:tc>
        <w:tc>
          <w:tcPr>
            <w:tcW w:type="dxa" w:w="8800"/>
            <w:tcBorders>
              <w:top w:val="none" w:color="FFFFFF" w:sz="0"/>
              <w:left w:val="none" w:color="FFFFFF" w:sz="0"/>
              <w:bottom w:val="none" w:color="FFFFFF" w:sz="0"/>
              <w:right w:val="none" w:color="FFFFFF" w:sz="0"/>
            </w:tcBorders>
            <w:shd w:fill="E8F4FD" w:val="clear"/>
            <w:tcMar>
              <w:top w:type="dxa" w:w="100"/>
              <w:left w:type="dxa" w:w="160"/>
              <w:bottom w:type="dxa" w:w="100"/>
              <w:right w:type="dxa" w:w="160"/>
            </w:tcMar>
          </w:tcPr>
          <w:p>
            <w:r>
              <w:rPr>
                <w:rFonts w:ascii="Arial" w:cs="Arial" w:eastAsia="Arial" w:hAnsi="Arial"/>
                <w:color w:val="333333"/>
                <w:sz w:val="20"/>
                <w:szCs w:val="20"/>
              </w:rPr>
              <w:t xml:space="preserve">There are two networks. ZoneLearnerNet is a small multi-layer perceptron (MLP) that takes four inputs — the relative position and velocity of a pedestrian pair — and predicts whether the robot is inside or outside the comfort zone. It achieves 99.1% accuracy, confirming the zone structure is learnable from data. SocialCostCNN is a convolutional neural network that takes a 50×50 occupancy grid of pedestrian positions and predicts the full social cost map in a single forward pass — 10× faster than computing costs analytically for each cell.</w:t>
            </w:r>
          </w:p>
        </w:tc>
      </w:tr>
      <w:tr>
        <w:tc>
          <w:tcPr>
            <w:tcW w:type="dxa" w:w="560"/>
            <w:tcBorders>
              <w:top w:val="none" w:color="FFFFFF" w:sz="0"/>
              <w:left w:val="none" w:color="FFFFFF" w:sz="0"/>
              <w:bottom w:val="none" w:color="FFFFFF" w:sz="0"/>
              <w:right w:val="none" w:color="FFFFFF" w:sz="0"/>
            </w:tcBorders>
            <w:shd w:fill="F5F5F5" w:val="clear"/>
            <w:tcMar>
              <w:top w:type="dxa" w:w="60"/>
              <w:left w:type="dxa" w:w="160"/>
              <w:bottom w:type="dxa" w:w="60"/>
              <w:right w:type="dxa" w:w="80"/>
            </w:tcMar>
          </w:tcPr>
          <w:p>
            <w:r>
              <w:rPr>
                <w:rFonts w:ascii="Arial" w:cs="Arial" w:eastAsia="Arial" w:hAnsi="Arial"/>
                <w:sz w:val="18"/>
                <w:szCs w:val="18"/>
              </w:rPr>
              <w:t xml:space="preserve">📚</w:t>
            </w:r>
          </w:p>
        </w:tc>
        <w:tc>
          <w:tcPr>
            <w:tcW w:type="dxa" w:w="8800"/>
            <w:tcBorders>
              <w:top w:val="dashed"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i/>
                <w:iCs/>
                <w:color w:val="555555"/>
                <w:sz w:val="18"/>
                <w:szCs w:val="18"/>
              </w:rPr>
              <w:t xml:space="preserve">Source(s): ZoneLearnerNet: Glorot &amp; Bengio (2010) AISTATS — Xavier initialisation; Kingma &amp; Ba (2015) ICLR — Adam optimiser; SocialCostCNN: He et al. (2015) ICCV — Kaiming init for CNNs.</w:t>
            </w:r>
          </w:p>
        </w:tc>
      </w:tr>
    </w:tbl>
    <w:p>
      <w:pPr>
        <w:spacing w:before="0" w:after="0"/>
      </w:pPr>
      <w:r>
        <w:t xml:space="preserve"/>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60"/>
              <w:left w:type="dxa" w:w="200"/>
              <w:bottom w:type="dxa" w:w="160"/>
              <w:right w:type="dxa" w:w="200"/>
            </w:tcMar>
          </w:tcPr>
          <w:p>
            <w:r>
              <w:rPr>
                <w:rFonts w:ascii="Arial" w:cs="Arial" w:eastAsia="Arial" w:hAnsi="Arial"/>
                <w:b/>
                <w:bCs/>
                <w:color w:val="FFFFFF"/>
                <w:sz w:val="28"/>
                <w:szCs w:val="28"/>
              </w:rPr>
              <w:t xml:space="preserve">CATEGORY 5: EXPERIMENTAL RESULTS</w:t>
            </w:r>
          </w:p>
          <w:p>
            <w:r>
              <w:rPr>
                <w:rFonts w:ascii="Arial" w:cs="Arial" w:eastAsia="Arial" w:hAnsi="Arial"/>
                <w:i/>
                <w:iCs/>
                <w:color w:val="BDC3C7"/>
                <w:sz w:val="20"/>
                <w:szCs w:val="20"/>
              </w:rPr>
              <w:t xml:space="preserve">What you found and how to interpret the numbers</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tblCellMar>
      </w:tblPr>
      <w:tblGrid>
        <w:gridCol w:w="560"/>
        <w:gridCol w:w="8800"/>
      </w:tblGrid>
      <w:tr>
        <w:tc>
          <w:tcPr>
            <w:tcW w:type="dxa" w:w="560"/>
            <w:tcBorders>
              <w:top w:val="none" w:color="FFFFFF" w:sz="0"/>
              <w:left w:val="none" w:color="FFFFFF" w:sz="0"/>
              <w:bottom w:val="none" w:color="FFFFFF" w:sz="0"/>
              <w:right w:val="none" w:color="FFFFFF" w:sz="0"/>
            </w:tcBorders>
            <w:shd w:fill="AED6F1" w:val="clear"/>
            <w:tcMar>
              <w:top w:type="dxa" w:w="80"/>
              <w:left w:type="dxa" w:w="160"/>
              <w:bottom w:type="dxa" w:w="80"/>
              <w:right w:type="dxa" w:w="80"/>
            </w:tcMar>
          </w:tcPr>
          <w:p>
            <w:pPr>
              <w:jc w:val="center"/>
            </w:pPr>
            <w:r>
              <w:rPr>
                <w:rFonts w:ascii="Arial" w:cs="Arial" w:eastAsia="Arial" w:hAnsi="Arial"/>
                <w:b/>
                <w:bCs/>
                <w:color w:val="FFFFFF"/>
                <w:sz w:val="22"/>
                <w:szCs w:val="22"/>
              </w:rPr>
              <w:t xml:space="preserve">Q1</w:t>
            </w:r>
          </w:p>
        </w:tc>
        <w:tc>
          <w:tcPr>
            <w:tcW w:type="dxa" w:w="8800"/>
            <w:tcBorders>
              <w:top w:val="none" w:color="FFFFFF" w:sz="0"/>
              <w:left w:val="none" w:color="FFFFFF" w:sz="0"/>
              <w:bottom w:val="none" w:color="FFFFFF" w:sz="0"/>
              <w:right w:val="none" w:color="FFFFFF" w:sz="0"/>
            </w:tcBorders>
            <w:shd w:fill="D6E4F0" w:val="clear"/>
            <w:tcMar>
              <w:top w:type="dxa" w:w="100"/>
              <w:left w:type="dxa" w:w="160"/>
              <w:bottom w:type="dxa" w:w="100"/>
              <w:right w:type="dxa" w:w="160"/>
            </w:tcMar>
          </w:tcPr>
          <w:p>
            <w:r>
              <w:rPr>
                <w:rFonts w:ascii="Arial" w:cs="Arial" w:eastAsia="Arial" w:hAnsi="Arial"/>
                <w:b/>
                <w:bCs/>
                <w:color w:val="1F4E79"/>
                <w:sz w:val="22"/>
                <w:szCs w:val="22"/>
              </w:rPr>
              <w:t xml:space="preserve">Your main result is 92% vs 85% success rate. Is a 7-point improvement actually significant?</w:t>
            </w:r>
          </w:p>
        </w:tc>
      </w:tr>
      <w:tr>
        <w:tc>
          <w:tcPr>
            <w:tcW w:type="dxa" w:w="560"/>
            <w:tcBorders>
              <w:top w:val="none" w:color="FFFFFF" w:sz="0"/>
              <w:left w:val="none" w:color="FFFFFF" w:sz="0"/>
              <w:bottom w:val="none" w:color="FFFFFF" w:sz="0"/>
              <w:right w:val="none" w:color="FFFFFF" w:sz="0"/>
            </w:tcBorders>
            <w:shd w:fill="E8F4FD" w:val="clear"/>
            <w:tcMar>
              <w:top w:type="dxa" w:w="80"/>
              <w:left w:type="dxa" w:w="160"/>
              <w:bottom w:type="dxa" w:w="80"/>
              <w:right w:type="dxa" w:w="80"/>
            </w:tcMar>
          </w:tcPr>
          <w:p>
            <w:pPr>
              <w:jc w:val="center"/>
            </w:pPr>
            <w:r>
              <w:rPr>
                <w:rFonts w:ascii="Arial" w:cs="Arial" w:eastAsia="Arial" w:hAnsi="Arial"/>
                <w:b/>
                <w:bCs/>
                <w:color w:val="2E75B6"/>
                <w:sz w:val="22"/>
                <w:szCs w:val="22"/>
              </w:rPr>
              <w:t xml:space="preserve">A</w:t>
            </w:r>
          </w:p>
        </w:tc>
        <w:tc>
          <w:tcPr>
            <w:tcW w:type="dxa" w:w="8800"/>
            <w:tcBorders>
              <w:top w:val="none" w:color="FFFFFF" w:sz="0"/>
              <w:left w:val="none" w:color="FFFFFF" w:sz="0"/>
              <w:bottom w:val="none" w:color="FFFFFF" w:sz="0"/>
              <w:right w:val="none" w:color="FFFFFF" w:sz="0"/>
            </w:tcBorders>
            <w:shd w:fill="E8F4FD" w:val="clear"/>
            <w:tcMar>
              <w:top w:type="dxa" w:w="100"/>
              <w:left w:type="dxa" w:w="160"/>
              <w:bottom w:type="dxa" w:w="100"/>
              <w:right w:type="dxa" w:w="160"/>
            </w:tcMar>
          </w:tcPr>
          <w:p>
            <w:r>
              <w:rPr>
                <w:rFonts w:ascii="Arial" w:cs="Arial" w:eastAsia="Arial" w:hAnsi="Arial"/>
                <w:color w:val="333333"/>
                <w:sz w:val="20"/>
                <w:szCs w:val="20"/>
              </w:rPr>
              <w:t xml:space="preserve">Yes, in the context of this domain. The baseline is already well-tuned (85% success is a strong circular planner). A 7 percentage point improvement means the asymmetric planner avoids failures in 47% of the cases where the circular planner fails — that is a large relative reduction. More importantly, the collision rate halves from 15% to 8%. In a hospital or public space deployment, halving collisions with humans is a meaningful safety improvement, not just a marginal gain.</w:t>
            </w:r>
          </w:p>
        </w:tc>
      </w:tr>
      <w:tr>
        <w:tc>
          <w:tcPr>
            <w:tcW w:type="dxa" w:w="560"/>
            <w:tcBorders>
              <w:top w:val="none" w:color="FFFFFF" w:sz="0"/>
              <w:left w:val="none" w:color="FFFFFF" w:sz="0"/>
              <w:bottom w:val="none" w:color="FFFFFF" w:sz="0"/>
              <w:right w:val="none" w:color="FFFFFF" w:sz="0"/>
            </w:tcBorders>
            <w:shd w:fill="F5F5F5" w:val="clear"/>
            <w:tcMar>
              <w:top w:type="dxa" w:w="60"/>
              <w:left w:type="dxa" w:w="160"/>
              <w:bottom w:type="dxa" w:w="60"/>
              <w:right w:type="dxa" w:w="80"/>
            </w:tcMar>
          </w:tcPr>
          <w:p>
            <w:r>
              <w:rPr>
                <w:rFonts w:ascii="Arial" w:cs="Arial" w:eastAsia="Arial" w:hAnsi="Arial"/>
                <w:sz w:val="18"/>
                <w:szCs w:val="18"/>
              </w:rPr>
              <w:t xml:space="preserve">📚</w:t>
            </w:r>
          </w:p>
        </w:tc>
        <w:tc>
          <w:tcPr>
            <w:tcW w:type="dxa" w:w="8800"/>
            <w:tcBorders>
              <w:top w:val="dashed"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i/>
                <w:iCs/>
                <w:color w:val="555555"/>
                <w:sz w:val="18"/>
                <w:szCs w:val="18"/>
              </w:rPr>
              <w:t xml:space="preserve">Source(s): Everett et al. (2021) IEEE Access — DRL baselines in similar pedestrian-rich environments (comparison context); navigation experiment results from experiments.py.</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tblCellMar>
      </w:tblPr>
      <w:tblGrid>
        <w:gridCol w:w="560"/>
        <w:gridCol w:w="8800"/>
      </w:tblGrid>
      <w:tr>
        <w:tc>
          <w:tcPr>
            <w:tcW w:type="dxa" w:w="560"/>
            <w:tcBorders>
              <w:top w:val="none" w:color="FFFFFF" w:sz="0"/>
              <w:left w:val="none" w:color="FFFFFF" w:sz="0"/>
              <w:bottom w:val="none" w:color="FFFFFF" w:sz="0"/>
              <w:right w:val="none" w:color="FFFFFF" w:sz="0"/>
            </w:tcBorders>
            <w:shd w:fill="AED6F1" w:val="clear"/>
            <w:tcMar>
              <w:top w:type="dxa" w:w="80"/>
              <w:left w:type="dxa" w:w="160"/>
              <w:bottom w:type="dxa" w:w="80"/>
              <w:right w:type="dxa" w:w="80"/>
            </w:tcMar>
          </w:tcPr>
          <w:p>
            <w:pPr>
              <w:jc w:val="center"/>
            </w:pPr>
            <w:r>
              <w:rPr>
                <w:rFonts w:ascii="Arial" w:cs="Arial" w:eastAsia="Arial" w:hAnsi="Arial"/>
                <w:b/>
                <w:bCs/>
                <w:color w:val="FFFFFF"/>
                <w:sz w:val="22"/>
                <w:szCs w:val="22"/>
              </w:rPr>
              <w:t xml:space="preserve">Q2</w:t>
            </w:r>
          </w:p>
        </w:tc>
        <w:tc>
          <w:tcPr>
            <w:tcW w:type="dxa" w:w="8800"/>
            <w:tcBorders>
              <w:top w:val="none" w:color="FFFFFF" w:sz="0"/>
              <w:left w:val="none" w:color="FFFFFF" w:sz="0"/>
              <w:bottom w:val="none" w:color="FFFFFF" w:sz="0"/>
              <w:right w:val="none" w:color="FFFFFF" w:sz="0"/>
            </w:tcBorders>
            <w:shd w:fill="D6E4F0" w:val="clear"/>
            <w:tcMar>
              <w:top w:type="dxa" w:w="100"/>
              <w:left w:type="dxa" w:w="160"/>
              <w:bottom w:type="dxa" w:w="100"/>
              <w:right w:type="dxa" w:w="160"/>
            </w:tcMar>
          </w:tcPr>
          <w:p>
            <w:r>
              <w:rPr>
                <w:rFonts w:ascii="Arial" w:cs="Arial" w:eastAsia="Arial" w:hAnsi="Arial"/>
                <w:b/>
                <w:bCs/>
                <w:color w:val="1F4E79"/>
                <w:sz w:val="22"/>
                <w:szCs w:val="22"/>
              </w:rPr>
              <w:t xml:space="preserve">You tested 5 runs but every run gave exactly the same number. Doesn't that mean your experiment has no statistical validity?</w:t>
            </w:r>
          </w:p>
        </w:tc>
      </w:tr>
      <w:tr>
        <w:tc>
          <w:tcPr>
            <w:tcW w:type="dxa" w:w="560"/>
            <w:tcBorders>
              <w:top w:val="none" w:color="FFFFFF" w:sz="0"/>
              <w:left w:val="none" w:color="FFFFFF" w:sz="0"/>
              <w:bottom w:val="none" w:color="FFFFFF" w:sz="0"/>
              <w:right w:val="none" w:color="FFFFFF" w:sz="0"/>
            </w:tcBorders>
            <w:shd w:fill="E8F4FD" w:val="clear"/>
            <w:tcMar>
              <w:top w:type="dxa" w:w="80"/>
              <w:left w:type="dxa" w:w="160"/>
              <w:bottom w:type="dxa" w:w="80"/>
              <w:right w:type="dxa" w:w="80"/>
            </w:tcMar>
          </w:tcPr>
          <w:p>
            <w:pPr>
              <w:jc w:val="center"/>
            </w:pPr>
            <w:r>
              <w:rPr>
                <w:rFonts w:ascii="Arial" w:cs="Arial" w:eastAsia="Arial" w:hAnsi="Arial"/>
                <w:b/>
                <w:bCs/>
                <w:color w:val="2E75B6"/>
                <w:sz w:val="22"/>
                <w:szCs w:val="22"/>
              </w:rPr>
              <w:t xml:space="preserve">A</w:t>
            </w:r>
          </w:p>
        </w:tc>
        <w:tc>
          <w:tcPr>
            <w:tcW w:type="dxa" w:w="8800"/>
            <w:tcBorders>
              <w:top w:val="none" w:color="FFFFFF" w:sz="0"/>
              <w:left w:val="none" w:color="FFFFFF" w:sz="0"/>
              <w:bottom w:val="none" w:color="FFFFFF" w:sz="0"/>
              <w:right w:val="none" w:color="FFFFFF" w:sz="0"/>
            </w:tcBorders>
            <w:shd w:fill="E8F4FD" w:val="clear"/>
            <w:tcMar>
              <w:top w:type="dxa" w:w="100"/>
              <w:left w:type="dxa" w:w="160"/>
              <w:bottom w:type="dxa" w:w="100"/>
              <w:right w:type="dxa" w:w="160"/>
            </w:tcMar>
          </w:tcPr>
          <w:p>
            <w:r>
              <w:rPr>
                <w:rFonts w:ascii="Arial" w:cs="Arial" w:eastAsia="Arial" w:hAnsi="Arial"/>
                <w:color w:val="333333"/>
                <w:sz w:val="20"/>
                <w:szCs w:val="20"/>
              </w:rPr>
              <w:t xml:space="preserve">The 5 runs were designed to confirm reproducibility, not to measure stochastic variance. Episode configurations are generated deterministically from fixed per-episode seeds, so all 5 runs produce identical scenarios — they verify that the planner itself is deterministic and the code is reproducible. Performance statistics are reported over the 100 fixed evaluation episodes, which represent a reasonable evaluation set for this simulation scale. I am transparent about this in the thesis rather than implying false statistical independence.</w:t>
            </w:r>
          </w:p>
        </w:tc>
      </w:tr>
      <w:tr>
        <w:tc>
          <w:tcPr>
            <w:tcW w:type="dxa" w:w="560"/>
            <w:tcBorders>
              <w:top w:val="none" w:color="FFFFFF" w:sz="0"/>
              <w:left w:val="none" w:color="FFFFFF" w:sz="0"/>
              <w:bottom w:val="none" w:color="FFFFFF" w:sz="0"/>
              <w:right w:val="none" w:color="FFFFFF" w:sz="0"/>
            </w:tcBorders>
            <w:shd w:fill="F5F5F5" w:val="clear"/>
            <w:tcMar>
              <w:top w:type="dxa" w:w="60"/>
              <w:left w:type="dxa" w:w="160"/>
              <w:bottom w:type="dxa" w:w="60"/>
              <w:right w:type="dxa" w:w="80"/>
            </w:tcMar>
          </w:tcPr>
          <w:p>
            <w:r>
              <w:rPr>
                <w:rFonts w:ascii="Arial" w:cs="Arial" w:eastAsia="Arial" w:hAnsi="Arial"/>
                <w:sz w:val="18"/>
                <w:szCs w:val="18"/>
              </w:rPr>
              <w:t xml:space="preserve">📚</w:t>
            </w:r>
          </w:p>
        </w:tc>
        <w:tc>
          <w:tcPr>
            <w:tcW w:type="dxa" w:w="8800"/>
            <w:tcBorders>
              <w:top w:val="dashed"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i/>
                <w:iCs/>
                <w:color w:val="555555"/>
                <w:sz w:val="18"/>
                <w:szCs w:val="18"/>
              </w:rPr>
              <w:t xml:space="preserve">Source(s): Fixed-seed methodology documented in main.py and experiments.py; reproducibility practice standard in simulation robotics research.</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tblCellMar>
      </w:tblPr>
      <w:tblGrid>
        <w:gridCol w:w="560"/>
        <w:gridCol w:w="8800"/>
      </w:tblGrid>
      <w:tr>
        <w:tc>
          <w:tcPr>
            <w:tcW w:type="dxa" w:w="560"/>
            <w:tcBorders>
              <w:top w:val="none" w:color="FFFFFF" w:sz="0"/>
              <w:left w:val="none" w:color="FFFFFF" w:sz="0"/>
              <w:bottom w:val="none" w:color="FFFFFF" w:sz="0"/>
              <w:right w:val="none" w:color="FFFFFF" w:sz="0"/>
            </w:tcBorders>
            <w:shd w:fill="AED6F1" w:val="clear"/>
            <w:tcMar>
              <w:top w:type="dxa" w:w="80"/>
              <w:left w:type="dxa" w:w="160"/>
              <w:bottom w:type="dxa" w:w="80"/>
              <w:right w:type="dxa" w:w="80"/>
            </w:tcMar>
          </w:tcPr>
          <w:p>
            <w:pPr>
              <w:jc w:val="center"/>
            </w:pPr>
            <w:r>
              <w:rPr>
                <w:rFonts w:ascii="Arial" w:cs="Arial" w:eastAsia="Arial" w:hAnsi="Arial"/>
                <w:b/>
                <w:bCs/>
                <w:color w:val="FFFFFF"/>
                <w:sz w:val="22"/>
                <w:szCs w:val="22"/>
              </w:rPr>
              <w:t xml:space="preserve">Q3</w:t>
            </w:r>
          </w:p>
        </w:tc>
        <w:tc>
          <w:tcPr>
            <w:tcW w:type="dxa" w:w="8800"/>
            <w:tcBorders>
              <w:top w:val="none" w:color="FFFFFF" w:sz="0"/>
              <w:left w:val="none" w:color="FFFFFF" w:sz="0"/>
              <w:bottom w:val="none" w:color="FFFFFF" w:sz="0"/>
              <w:right w:val="none" w:color="FFFFFF" w:sz="0"/>
            </w:tcBorders>
            <w:shd w:fill="D6E4F0" w:val="clear"/>
            <w:tcMar>
              <w:top w:type="dxa" w:w="100"/>
              <w:left w:type="dxa" w:w="160"/>
              <w:bottom w:type="dxa" w:w="100"/>
              <w:right w:type="dxa" w:w="160"/>
            </w:tcMar>
          </w:tcPr>
          <w:p>
            <w:r>
              <w:rPr>
                <w:rFonts w:ascii="Arial" w:cs="Arial" w:eastAsia="Arial" w:hAnsi="Arial"/>
                <w:b/>
                <w:bCs/>
                <w:color w:val="1F4E79"/>
                <w:sz w:val="22"/>
                <w:szCs w:val="22"/>
              </w:rPr>
              <w:t xml:space="preserve">Your path length is slightly longer with the asymmetric planner (9.50m vs 9.45m). Isn't that a disadvantage?</w:t>
            </w:r>
          </w:p>
        </w:tc>
      </w:tr>
      <w:tr>
        <w:tc>
          <w:tcPr>
            <w:tcW w:type="dxa" w:w="560"/>
            <w:tcBorders>
              <w:top w:val="none" w:color="FFFFFF" w:sz="0"/>
              <w:left w:val="none" w:color="FFFFFF" w:sz="0"/>
              <w:bottom w:val="none" w:color="FFFFFF" w:sz="0"/>
              <w:right w:val="none" w:color="FFFFFF" w:sz="0"/>
            </w:tcBorders>
            <w:shd w:fill="E8F4FD" w:val="clear"/>
            <w:tcMar>
              <w:top w:type="dxa" w:w="80"/>
              <w:left w:type="dxa" w:w="160"/>
              <w:bottom w:type="dxa" w:w="80"/>
              <w:right w:type="dxa" w:w="80"/>
            </w:tcMar>
          </w:tcPr>
          <w:p>
            <w:pPr>
              <w:jc w:val="center"/>
            </w:pPr>
            <w:r>
              <w:rPr>
                <w:rFonts w:ascii="Arial" w:cs="Arial" w:eastAsia="Arial" w:hAnsi="Arial"/>
                <w:b/>
                <w:bCs/>
                <w:color w:val="2E75B6"/>
                <w:sz w:val="22"/>
                <w:szCs w:val="22"/>
              </w:rPr>
              <w:t xml:space="preserve">A</w:t>
            </w:r>
          </w:p>
        </w:tc>
        <w:tc>
          <w:tcPr>
            <w:tcW w:type="dxa" w:w="8800"/>
            <w:tcBorders>
              <w:top w:val="none" w:color="FFFFFF" w:sz="0"/>
              <w:left w:val="none" w:color="FFFFFF" w:sz="0"/>
              <w:bottom w:val="none" w:color="FFFFFF" w:sz="0"/>
              <w:right w:val="none" w:color="FFFFFF" w:sz="0"/>
            </w:tcBorders>
            <w:shd w:fill="E8F4FD" w:val="clear"/>
            <w:tcMar>
              <w:top w:type="dxa" w:w="100"/>
              <w:left w:type="dxa" w:w="160"/>
              <w:bottom w:type="dxa" w:w="100"/>
              <w:right w:type="dxa" w:w="160"/>
            </w:tcMar>
          </w:tcPr>
          <w:p>
            <w:r>
              <w:rPr>
                <w:rFonts w:ascii="Arial" w:cs="Arial" w:eastAsia="Arial" w:hAnsi="Arial"/>
                <w:color w:val="333333"/>
                <w:sz w:val="20"/>
                <w:szCs w:val="20"/>
              </w:rPr>
              <w:t xml:space="preserve">The 0.05m difference — roughly 0.5% overhead — is negligible in practice. The planner takes slightly longer paths to route around the frontal zones of pedestrians rather than cutting through them. This is the expected and desired trade-off: the asymmetric planner prioritises social comfort over absolute path efficiency. The fact that the overhead is only 0.5% while safety improves by 47% makes this an extremely favourable exchange.</w:t>
            </w:r>
          </w:p>
        </w:tc>
      </w:tr>
      <w:tr>
        <w:tc>
          <w:tcPr>
            <w:tcW w:type="dxa" w:w="560"/>
            <w:tcBorders>
              <w:top w:val="none" w:color="FFFFFF" w:sz="0"/>
              <w:left w:val="none" w:color="FFFFFF" w:sz="0"/>
              <w:bottom w:val="none" w:color="FFFFFF" w:sz="0"/>
              <w:right w:val="none" w:color="FFFFFF" w:sz="0"/>
            </w:tcBorders>
            <w:shd w:fill="F5F5F5" w:val="clear"/>
            <w:tcMar>
              <w:top w:type="dxa" w:w="60"/>
              <w:left w:type="dxa" w:w="160"/>
              <w:bottom w:type="dxa" w:w="60"/>
              <w:right w:type="dxa" w:w="80"/>
            </w:tcMar>
          </w:tcPr>
          <w:p>
            <w:r>
              <w:rPr>
                <w:rFonts w:ascii="Arial" w:cs="Arial" w:eastAsia="Arial" w:hAnsi="Arial"/>
                <w:sz w:val="18"/>
                <w:szCs w:val="18"/>
              </w:rPr>
              <w:t xml:space="preserve">📚</w:t>
            </w:r>
          </w:p>
        </w:tc>
        <w:tc>
          <w:tcPr>
            <w:tcW w:type="dxa" w:w="8800"/>
            <w:tcBorders>
              <w:top w:val="dashed"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i/>
                <w:iCs/>
                <w:color w:val="555555"/>
                <w:sz w:val="18"/>
                <w:szCs w:val="18"/>
              </w:rPr>
              <w:t xml:space="preserve">Source(s): Navigation experiment results; Kruse et al. (2013) — discusses path efficiency vs. social acceptability trade-offs in human-aware navigation.</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tblCellMar>
      </w:tblPr>
      <w:tblGrid>
        <w:gridCol w:w="560"/>
        <w:gridCol w:w="8800"/>
      </w:tblGrid>
      <w:tr>
        <w:tc>
          <w:tcPr>
            <w:tcW w:type="dxa" w:w="560"/>
            <w:tcBorders>
              <w:top w:val="none" w:color="FFFFFF" w:sz="0"/>
              <w:left w:val="none" w:color="FFFFFF" w:sz="0"/>
              <w:bottom w:val="none" w:color="FFFFFF" w:sz="0"/>
              <w:right w:val="none" w:color="FFFFFF" w:sz="0"/>
            </w:tcBorders>
            <w:shd w:fill="AED6F1" w:val="clear"/>
            <w:tcMar>
              <w:top w:type="dxa" w:w="80"/>
              <w:left w:type="dxa" w:w="160"/>
              <w:bottom w:type="dxa" w:w="80"/>
              <w:right w:type="dxa" w:w="80"/>
            </w:tcMar>
          </w:tcPr>
          <w:p>
            <w:pPr>
              <w:jc w:val="center"/>
            </w:pPr>
            <w:r>
              <w:rPr>
                <w:rFonts w:ascii="Arial" w:cs="Arial" w:eastAsia="Arial" w:hAnsi="Arial"/>
                <w:b/>
                <w:bCs/>
                <w:color w:val="FFFFFF"/>
                <w:sz w:val="22"/>
                <w:szCs w:val="22"/>
              </w:rPr>
              <w:t xml:space="preserve">Q4</w:t>
            </w:r>
          </w:p>
        </w:tc>
        <w:tc>
          <w:tcPr>
            <w:tcW w:type="dxa" w:w="8800"/>
            <w:tcBorders>
              <w:top w:val="none" w:color="FFFFFF" w:sz="0"/>
              <w:left w:val="none" w:color="FFFFFF" w:sz="0"/>
              <w:bottom w:val="none" w:color="FFFFFF" w:sz="0"/>
              <w:right w:val="none" w:color="FFFFFF" w:sz="0"/>
            </w:tcBorders>
            <w:shd w:fill="D6E4F0" w:val="clear"/>
            <w:tcMar>
              <w:top w:type="dxa" w:w="100"/>
              <w:left w:type="dxa" w:w="160"/>
              <w:bottom w:type="dxa" w:w="100"/>
              <w:right w:type="dxa" w:w="160"/>
            </w:tcMar>
          </w:tcPr>
          <w:p>
            <w:r>
              <w:rPr>
                <w:rFonts w:ascii="Arial" w:cs="Arial" w:eastAsia="Arial" w:hAnsi="Arial"/>
                <w:b/>
                <w:bCs/>
                <w:color w:val="1F4E79"/>
                <w:sz w:val="22"/>
                <w:szCs w:val="22"/>
              </w:rPr>
              <w:t xml:space="preserve">Why did the neural planner perform worse than both other planners?</w:t>
            </w:r>
          </w:p>
        </w:tc>
      </w:tr>
      <w:tr>
        <w:tc>
          <w:tcPr>
            <w:tcW w:type="dxa" w:w="560"/>
            <w:tcBorders>
              <w:top w:val="none" w:color="FFFFFF" w:sz="0"/>
              <w:left w:val="none" w:color="FFFFFF" w:sz="0"/>
              <w:bottom w:val="none" w:color="FFFFFF" w:sz="0"/>
              <w:right w:val="none" w:color="FFFFFF" w:sz="0"/>
            </w:tcBorders>
            <w:shd w:fill="E8F4FD" w:val="clear"/>
            <w:tcMar>
              <w:top w:type="dxa" w:w="80"/>
              <w:left w:type="dxa" w:w="160"/>
              <w:bottom w:type="dxa" w:w="80"/>
              <w:right w:type="dxa" w:w="80"/>
            </w:tcMar>
          </w:tcPr>
          <w:p>
            <w:pPr>
              <w:jc w:val="center"/>
            </w:pPr>
            <w:r>
              <w:rPr>
                <w:rFonts w:ascii="Arial" w:cs="Arial" w:eastAsia="Arial" w:hAnsi="Arial"/>
                <w:b/>
                <w:bCs/>
                <w:color w:val="2E75B6"/>
                <w:sz w:val="22"/>
                <w:szCs w:val="22"/>
              </w:rPr>
              <w:t xml:space="preserve">A</w:t>
            </w:r>
          </w:p>
        </w:tc>
        <w:tc>
          <w:tcPr>
            <w:tcW w:type="dxa" w:w="8800"/>
            <w:tcBorders>
              <w:top w:val="none" w:color="FFFFFF" w:sz="0"/>
              <w:left w:val="none" w:color="FFFFFF" w:sz="0"/>
              <w:bottom w:val="none" w:color="FFFFFF" w:sz="0"/>
              <w:right w:val="none" w:color="FFFFFF" w:sz="0"/>
            </w:tcBorders>
            <w:shd w:fill="E8F4FD" w:val="clear"/>
            <w:tcMar>
              <w:top w:type="dxa" w:w="100"/>
              <w:left w:type="dxa" w:w="160"/>
              <w:bottom w:type="dxa" w:w="100"/>
              <w:right w:type="dxa" w:w="160"/>
            </w:tcMar>
          </w:tcPr>
          <w:p>
            <w:r>
              <w:rPr>
                <w:rFonts w:ascii="Arial" w:cs="Arial" w:eastAsia="Arial" w:hAnsi="Arial"/>
                <w:color w:val="333333"/>
                <w:sz w:val="20"/>
                <w:szCs w:val="20"/>
              </w:rPr>
              <w:t>The SocialCostCNN was trained on 500 real ETH/UCY scene configurations, which is insufficient to generalise across the full diversity of pedestrian configurations encountered during evaluation. When the network's confidence is low (max activation &lt; 0.01), it falls back to analytical cost computation. High fallback rates indicate insufficient training coverage — training on more ETH/UCY scenarios is the direct fix and is listed as future work.</w:t>
            </w:r>
          </w:p>
        </w:tc>
      </w:tr>
      <w:tr>
        <w:tc>
          <w:tcPr>
            <w:tcW w:type="dxa" w:w="560"/>
            <w:tcBorders>
              <w:top w:val="none" w:color="FFFFFF" w:sz="0"/>
              <w:left w:val="none" w:color="FFFFFF" w:sz="0"/>
              <w:bottom w:val="none" w:color="FFFFFF" w:sz="0"/>
              <w:right w:val="none" w:color="FFFFFF" w:sz="0"/>
            </w:tcBorders>
            <w:shd w:fill="F5F5F5" w:val="clear"/>
            <w:tcMar>
              <w:top w:type="dxa" w:w="60"/>
              <w:left w:type="dxa" w:w="160"/>
              <w:bottom w:type="dxa" w:w="60"/>
              <w:right w:type="dxa" w:w="80"/>
            </w:tcMar>
          </w:tcPr>
          <w:p>
            <w:r>
              <w:rPr>
                <w:rFonts w:ascii="Arial" w:cs="Arial" w:eastAsia="Arial" w:hAnsi="Arial"/>
                <w:sz w:val="18"/>
                <w:szCs w:val="18"/>
              </w:rPr>
              <w:t xml:space="preserve">📚</w:t>
            </w:r>
          </w:p>
        </w:tc>
        <w:tc>
          <w:tcPr>
            <w:tcW w:type="dxa" w:w="8800"/>
            <w:tcBorders>
              <w:top w:val="dashed"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i/>
                <w:iCs/>
                <w:color w:val="555555"/>
                <w:sz w:val="18"/>
                <w:szCs w:val="18"/>
              </w:rPr>
              <w:t xml:space="preserve">Source(s): Training methodology in train_cost_cnn.py; NeuralPlanner fallback logic in neural_planner.py; Everett et al. (2021) — discusses training data sufficiency in learning-based navigation.</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tblCellMar>
      </w:tblPr>
      <w:tblGrid>
        <w:gridCol w:w="560"/>
        <w:gridCol w:w="8800"/>
      </w:tblGrid>
      <w:tr>
        <w:tc>
          <w:tcPr>
            <w:tcW w:type="dxa" w:w="560"/>
            <w:tcBorders>
              <w:top w:val="none" w:color="FFFFFF" w:sz="0"/>
              <w:left w:val="none" w:color="FFFFFF" w:sz="0"/>
              <w:bottom w:val="none" w:color="FFFFFF" w:sz="0"/>
              <w:right w:val="none" w:color="FFFFFF" w:sz="0"/>
            </w:tcBorders>
            <w:shd w:fill="AED6F1" w:val="clear"/>
            <w:tcMar>
              <w:top w:type="dxa" w:w="80"/>
              <w:left w:type="dxa" w:w="160"/>
              <w:bottom w:type="dxa" w:w="80"/>
              <w:right w:type="dxa" w:w="80"/>
            </w:tcMar>
          </w:tcPr>
          <w:p>
            <w:pPr>
              <w:jc w:val="center"/>
            </w:pPr>
            <w:r>
              <w:rPr>
                <w:rFonts w:ascii="Arial" w:cs="Arial" w:eastAsia="Arial" w:hAnsi="Arial"/>
                <w:b/>
                <w:bCs/>
                <w:color w:val="FFFFFF"/>
                <w:sz w:val="22"/>
                <w:szCs w:val="22"/>
              </w:rPr>
              <w:t xml:space="preserve">Q5</w:t>
            </w:r>
          </w:p>
        </w:tc>
        <w:tc>
          <w:tcPr>
            <w:tcW w:type="dxa" w:w="8800"/>
            <w:tcBorders>
              <w:top w:val="none" w:color="FFFFFF" w:sz="0"/>
              <w:left w:val="none" w:color="FFFFFF" w:sz="0"/>
              <w:bottom w:val="none" w:color="FFFFFF" w:sz="0"/>
              <w:right w:val="none" w:color="FFFFFF" w:sz="0"/>
            </w:tcBorders>
            <w:shd w:fill="D6E4F0" w:val="clear"/>
            <w:tcMar>
              <w:top w:type="dxa" w:w="100"/>
              <w:left w:type="dxa" w:w="160"/>
              <w:bottom w:type="dxa" w:w="100"/>
              <w:right w:type="dxa" w:w="160"/>
            </w:tcMar>
          </w:tcPr>
          <w:p>
            <w:r>
              <w:rPr>
                <w:rFonts w:ascii="Arial" w:cs="Arial" w:eastAsia="Arial" w:hAnsi="Arial"/>
                <w:b/>
                <w:bCs/>
                <w:color w:val="1F4E79"/>
                <w:sz w:val="22"/>
                <w:szCs w:val="22"/>
              </w:rPr>
              <w:t xml:space="preserve">What does 'violations per episode' mean exactly?</w:t>
            </w:r>
          </w:p>
        </w:tc>
      </w:tr>
      <w:tr>
        <w:tc>
          <w:tcPr>
            <w:tcW w:type="dxa" w:w="560"/>
            <w:tcBorders>
              <w:top w:val="none" w:color="FFFFFF" w:sz="0"/>
              <w:left w:val="none" w:color="FFFFFF" w:sz="0"/>
              <w:bottom w:val="none" w:color="FFFFFF" w:sz="0"/>
              <w:right w:val="none" w:color="FFFFFF" w:sz="0"/>
            </w:tcBorders>
            <w:shd w:fill="E8F4FD" w:val="clear"/>
            <w:tcMar>
              <w:top w:type="dxa" w:w="80"/>
              <w:left w:type="dxa" w:w="160"/>
              <w:bottom w:type="dxa" w:w="80"/>
              <w:right w:type="dxa" w:w="80"/>
            </w:tcMar>
          </w:tcPr>
          <w:p>
            <w:pPr>
              <w:jc w:val="center"/>
            </w:pPr>
            <w:r>
              <w:rPr>
                <w:rFonts w:ascii="Arial" w:cs="Arial" w:eastAsia="Arial" w:hAnsi="Arial"/>
                <w:b/>
                <w:bCs/>
                <w:color w:val="2E75B6"/>
                <w:sz w:val="22"/>
                <w:szCs w:val="22"/>
              </w:rPr>
              <w:t xml:space="preserve">A</w:t>
            </w:r>
          </w:p>
        </w:tc>
        <w:tc>
          <w:tcPr>
            <w:tcW w:type="dxa" w:w="8800"/>
            <w:tcBorders>
              <w:top w:val="none" w:color="FFFFFF" w:sz="0"/>
              <w:left w:val="none" w:color="FFFFFF" w:sz="0"/>
              <w:bottom w:val="none" w:color="FFFFFF" w:sz="0"/>
              <w:right w:val="none" w:color="FFFFFF" w:sz="0"/>
            </w:tcBorders>
            <w:shd w:fill="E8F4FD" w:val="clear"/>
            <w:tcMar>
              <w:top w:type="dxa" w:w="100"/>
              <w:left w:type="dxa" w:w="160"/>
              <w:bottom w:type="dxa" w:w="100"/>
              <w:right w:type="dxa" w:w="160"/>
            </w:tcMar>
          </w:tcPr>
          <w:p>
            <w:r>
              <w:rPr>
                <w:rFonts w:ascii="Arial" w:cs="Arial" w:eastAsia="Arial" w:hAnsi="Arial"/>
                <w:color w:val="333333"/>
                <w:sz w:val="20"/>
                <w:szCs w:val="20"/>
              </w:rPr>
              <w:t xml:space="preserve">A violation is a timestep at which the robot's centre falls within the defined social zone boundary of any pedestrian. So '7.0 violations per episode' means that on average, the robot spends 7 timesteps inside someone's personal space during each 100-episode evaluation run. It is not 7 distinct intrusions — it counts every individual timestep of intrusion. Fewer violations means the robot respects zones more consistently throughout its path.</w:t>
            </w:r>
          </w:p>
        </w:tc>
      </w:tr>
      <w:tr>
        <w:tc>
          <w:tcPr>
            <w:tcW w:type="dxa" w:w="560"/>
            <w:tcBorders>
              <w:top w:val="none" w:color="FFFFFF" w:sz="0"/>
              <w:left w:val="none" w:color="FFFFFF" w:sz="0"/>
              <w:bottom w:val="none" w:color="FFFFFF" w:sz="0"/>
              <w:right w:val="none" w:color="FFFFFF" w:sz="0"/>
            </w:tcBorders>
            <w:shd w:fill="F5F5F5" w:val="clear"/>
            <w:tcMar>
              <w:top w:type="dxa" w:w="60"/>
              <w:left w:type="dxa" w:w="160"/>
              <w:bottom w:type="dxa" w:w="60"/>
              <w:right w:type="dxa" w:w="80"/>
            </w:tcMar>
          </w:tcPr>
          <w:p>
            <w:r>
              <w:rPr>
                <w:rFonts w:ascii="Arial" w:cs="Arial" w:eastAsia="Arial" w:hAnsi="Arial"/>
                <w:sz w:val="18"/>
                <w:szCs w:val="18"/>
              </w:rPr>
              <w:t xml:space="preserve">📚</w:t>
            </w:r>
          </w:p>
        </w:tc>
        <w:tc>
          <w:tcPr>
            <w:tcW w:type="dxa" w:w="8800"/>
            <w:tcBorders>
              <w:top w:val="dashed"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i/>
                <w:iCs/>
                <w:color w:val="555555"/>
                <w:sz w:val="18"/>
                <w:szCs w:val="18"/>
              </w:rPr>
              <w:t xml:space="preserve">Source(s): Definition from experiments.py evaluation logic; social_zone.py zone boundary definition.</w:t>
            </w:r>
          </w:p>
        </w:tc>
      </w:tr>
    </w:tbl>
    <w:p>
      <w:pPr>
        <w:spacing w:before="0" w:after="0"/>
      </w:pPr>
      <w:r>
        <w:t xml:space="preserve"/>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60"/>
              <w:left w:type="dxa" w:w="200"/>
              <w:bottom w:type="dxa" w:w="160"/>
              <w:right w:type="dxa" w:w="200"/>
            </w:tcMar>
          </w:tcPr>
          <w:p>
            <w:r>
              <w:rPr>
                <w:rFonts w:ascii="Arial" w:cs="Arial" w:eastAsia="Arial" w:hAnsi="Arial"/>
                <w:b/>
                <w:bCs/>
                <w:color w:val="FFFFFF"/>
                <w:sz w:val="28"/>
                <w:szCs w:val="28"/>
              </w:rPr>
              <w:t xml:space="preserve">CATEGORY 6: LIMITATIONS &amp; FUTURE WORK</w:t>
            </w:r>
          </w:p>
          <w:p>
            <w:r>
              <w:rPr>
                <w:rFonts w:ascii="Arial" w:cs="Arial" w:eastAsia="Arial" w:hAnsi="Arial"/>
                <w:i/>
                <w:iCs/>
                <w:color w:val="BDC3C7"/>
                <w:sz w:val="20"/>
                <w:szCs w:val="20"/>
              </w:rPr>
              <w:t xml:space="preserve">Honest assessment of what the work does and does not claim</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tblCellMar>
      </w:tblPr>
      <w:tblGrid>
        <w:gridCol w:w="560"/>
        <w:gridCol w:w="8800"/>
      </w:tblGrid>
      <w:tr>
        <w:tc>
          <w:tcPr>
            <w:tcW w:type="dxa" w:w="560"/>
            <w:tcBorders>
              <w:top w:val="none" w:color="FFFFFF" w:sz="0"/>
              <w:left w:val="none" w:color="FFFFFF" w:sz="0"/>
              <w:bottom w:val="none" w:color="FFFFFF" w:sz="0"/>
              <w:right w:val="none" w:color="FFFFFF" w:sz="0"/>
            </w:tcBorders>
            <w:shd w:fill="AED6F1" w:val="clear"/>
            <w:tcMar>
              <w:top w:type="dxa" w:w="80"/>
              <w:left w:type="dxa" w:w="160"/>
              <w:bottom w:type="dxa" w:w="80"/>
              <w:right w:type="dxa" w:w="80"/>
            </w:tcMar>
          </w:tcPr>
          <w:p>
            <w:pPr>
              <w:jc w:val="center"/>
            </w:pPr>
            <w:r>
              <w:rPr>
                <w:rFonts w:ascii="Arial" w:cs="Arial" w:eastAsia="Arial" w:hAnsi="Arial"/>
                <w:b/>
                <w:bCs/>
                <w:color w:val="FFFFFF"/>
                <w:sz w:val="22"/>
                <w:szCs w:val="22"/>
              </w:rPr>
              <w:t xml:space="preserve">Q1</w:t>
            </w:r>
          </w:p>
        </w:tc>
        <w:tc>
          <w:tcPr>
            <w:tcW w:type="dxa" w:w="8800"/>
            <w:tcBorders>
              <w:top w:val="none" w:color="FFFFFF" w:sz="0"/>
              <w:left w:val="none" w:color="FFFFFF" w:sz="0"/>
              <w:bottom w:val="none" w:color="FFFFFF" w:sz="0"/>
              <w:right w:val="none" w:color="FFFFFF" w:sz="0"/>
            </w:tcBorders>
            <w:shd w:fill="D6E4F0" w:val="clear"/>
            <w:tcMar>
              <w:top w:type="dxa" w:w="100"/>
              <w:left w:type="dxa" w:w="160"/>
              <w:bottom w:type="dxa" w:w="100"/>
              <w:right w:type="dxa" w:w="160"/>
            </w:tcMar>
          </w:tcPr>
          <w:p>
            <w:r>
              <w:rPr>
                <w:rFonts w:ascii="Arial" w:cs="Arial" w:eastAsia="Arial" w:hAnsi="Arial"/>
                <w:b/>
                <w:bCs/>
                <w:color w:val="1F4E79"/>
                <w:sz w:val="22"/>
                <w:szCs w:val="22"/>
              </w:rPr>
              <w:t xml:space="preserve">Your planner is 'open-loop' — what does that mean and why is it a limitation?</w:t>
            </w:r>
          </w:p>
        </w:tc>
      </w:tr>
      <w:tr>
        <w:tc>
          <w:tcPr>
            <w:tcW w:type="dxa" w:w="560"/>
            <w:tcBorders>
              <w:top w:val="none" w:color="FFFFFF" w:sz="0"/>
              <w:left w:val="none" w:color="FFFFFF" w:sz="0"/>
              <w:bottom w:val="none" w:color="FFFFFF" w:sz="0"/>
              <w:right w:val="none" w:color="FFFFFF" w:sz="0"/>
            </w:tcBorders>
            <w:shd w:fill="E8F4FD" w:val="clear"/>
            <w:tcMar>
              <w:top w:type="dxa" w:w="80"/>
              <w:left w:type="dxa" w:w="160"/>
              <w:bottom w:type="dxa" w:w="80"/>
              <w:right w:type="dxa" w:w="80"/>
            </w:tcMar>
          </w:tcPr>
          <w:p>
            <w:pPr>
              <w:jc w:val="center"/>
            </w:pPr>
            <w:r>
              <w:rPr>
                <w:rFonts w:ascii="Arial" w:cs="Arial" w:eastAsia="Arial" w:hAnsi="Arial"/>
                <w:b/>
                <w:bCs/>
                <w:color w:val="2E75B6"/>
                <w:sz w:val="22"/>
                <w:szCs w:val="22"/>
              </w:rPr>
              <w:t xml:space="preserve">A</w:t>
            </w:r>
          </w:p>
        </w:tc>
        <w:tc>
          <w:tcPr>
            <w:tcW w:type="dxa" w:w="8800"/>
            <w:tcBorders>
              <w:top w:val="none" w:color="FFFFFF" w:sz="0"/>
              <w:left w:val="none" w:color="FFFFFF" w:sz="0"/>
              <w:bottom w:val="none" w:color="FFFFFF" w:sz="0"/>
              <w:right w:val="none" w:color="FFFFFF" w:sz="0"/>
            </w:tcBorders>
            <w:shd w:fill="E8F4FD" w:val="clear"/>
            <w:tcMar>
              <w:top w:type="dxa" w:w="100"/>
              <w:left w:type="dxa" w:w="160"/>
              <w:bottom w:type="dxa" w:w="100"/>
              <w:right w:type="dxa" w:w="160"/>
            </w:tcMar>
          </w:tcPr>
          <w:p>
            <w:r>
              <w:rPr>
                <w:rFonts w:ascii="Arial" w:cs="Arial" w:eastAsia="Arial" w:hAnsi="Arial"/>
                <w:color w:val="333333"/>
                <w:sz w:val="20"/>
                <w:szCs w:val="20"/>
              </w:rPr>
              <w:t xml:space="preserve">Open-loop means the robot computes its full path at the start and follows it without replanning, even if pedestrians move during navigation. This is a significant simplification — real pedestrians are unpredictable and the robot needs to adapt dynamically. The limitation is acknowledged: a replanning version that updates the path every K steps would be more realistic. Open-loop planning is used here to isolate the effect of the zone model itself from replanning dynamics.</w:t>
            </w:r>
          </w:p>
        </w:tc>
      </w:tr>
      <w:tr>
        <w:tc>
          <w:tcPr>
            <w:tcW w:type="dxa" w:w="560"/>
            <w:tcBorders>
              <w:top w:val="none" w:color="FFFFFF" w:sz="0"/>
              <w:left w:val="none" w:color="FFFFFF" w:sz="0"/>
              <w:bottom w:val="none" w:color="FFFFFF" w:sz="0"/>
              <w:right w:val="none" w:color="FFFFFF" w:sz="0"/>
            </w:tcBorders>
            <w:shd w:fill="F5F5F5" w:val="clear"/>
            <w:tcMar>
              <w:top w:type="dxa" w:w="60"/>
              <w:left w:type="dxa" w:w="160"/>
              <w:bottom w:type="dxa" w:w="60"/>
              <w:right w:type="dxa" w:w="80"/>
            </w:tcMar>
          </w:tcPr>
          <w:p>
            <w:r>
              <w:rPr>
                <w:rFonts w:ascii="Arial" w:cs="Arial" w:eastAsia="Arial" w:hAnsi="Arial"/>
                <w:sz w:val="18"/>
                <w:szCs w:val="18"/>
              </w:rPr>
              <w:t xml:space="preserve">📚</w:t>
            </w:r>
          </w:p>
        </w:tc>
        <w:tc>
          <w:tcPr>
            <w:tcW w:type="dxa" w:w="8800"/>
            <w:tcBorders>
              <w:top w:val="dashed"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i/>
                <w:iCs/>
                <w:color w:val="555555"/>
                <w:sz w:val="18"/>
                <w:szCs w:val="18"/>
              </w:rPr>
              <w:t xml:space="preserve">Source(s): Sisbot et al. (2007) — also uses open-loop planning for controlled evaluation; Everett et al. (2021) — discusses reactive vs. planned navigation trade-offs.</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tblCellMar>
      </w:tblPr>
      <w:tblGrid>
        <w:gridCol w:w="560"/>
        <w:gridCol w:w="8800"/>
      </w:tblGrid>
      <w:tr>
        <w:tc>
          <w:tcPr>
            <w:tcW w:type="dxa" w:w="560"/>
            <w:tcBorders>
              <w:top w:val="none" w:color="FFFFFF" w:sz="0"/>
              <w:left w:val="none" w:color="FFFFFF" w:sz="0"/>
              <w:bottom w:val="none" w:color="FFFFFF" w:sz="0"/>
              <w:right w:val="none" w:color="FFFFFF" w:sz="0"/>
            </w:tcBorders>
            <w:shd w:fill="AED6F1" w:val="clear"/>
            <w:tcMar>
              <w:top w:type="dxa" w:w="80"/>
              <w:left w:type="dxa" w:w="160"/>
              <w:bottom w:type="dxa" w:w="80"/>
              <w:right w:type="dxa" w:w="80"/>
            </w:tcMar>
          </w:tcPr>
          <w:p>
            <w:pPr>
              <w:jc w:val="center"/>
            </w:pPr>
            <w:r>
              <w:rPr>
                <w:rFonts w:ascii="Arial" w:cs="Arial" w:eastAsia="Arial" w:hAnsi="Arial"/>
                <w:b/>
                <w:bCs/>
                <w:color w:val="FFFFFF"/>
                <w:sz w:val="22"/>
                <w:szCs w:val="22"/>
              </w:rPr>
              <w:t xml:space="preserve">Q2</w:t>
            </w:r>
          </w:p>
        </w:tc>
        <w:tc>
          <w:tcPr>
            <w:tcW w:type="dxa" w:w="8800"/>
            <w:tcBorders>
              <w:top w:val="none" w:color="FFFFFF" w:sz="0"/>
              <w:left w:val="none" w:color="FFFFFF" w:sz="0"/>
              <w:bottom w:val="none" w:color="FFFFFF" w:sz="0"/>
              <w:right w:val="none" w:color="FFFFFF" w:sz="0"/>
            </w:tcBorders>
            <w:shd w:fill="D6E4F0" w:val="clear"/>
            <w:tcMar>
              <w:top w:type="dxa" w:w="100"/>
              <w:left w:type="dxa" w:w="160"/>
              <w:bottom w:type="dxa" w:w="100"/>
              <w:right w:type="dxa" w:w="160"/>
            </w:tcMar>
          </w:tcPr>
          <w:p>
            <w:r>
              <w:rPr>
                <w:rFonts w:ascii="Arial" w:cs="Arial" w:eastAsia="Arial" w:hAnsi="Arial"/>
                <w:b/>
                <w:bCs/>
                <w:color w:val="1F4E79"/>
                <w:sz w:val="22"/>
                <w:szCs w:val="22"/>
              </w:rPr>
              <w:t xml:space="preserve">You only simulated 4 pedestrians in a 10×10m space. Is that realistic?</w:t>
            </w:r>
          </w:p>
        </w:tc>
      </w:tr>
      <w:tr>
        <w:tc>
          <w:tcPr>
            <w:tcW w:type="dxa" w:w="560"/>
            <w:tcBorders>
              <w:top w:val="none" w:color="FFFFFF" w:sz="0"/>
              <w:left w:val="none" w:color="FFFFFF" w:sz="0"/>
              <w:bottom w:val="none" w:color="FFFFFF" w:sz="0"/>
              <w:right w:val="none" w:color="FFFFFF" w:sz="0"/>
            </w:tcBorders>
            <w:shd w:fill="E8F4FD" w:val="clear"/>
            <w:tcMar>
              <w:top w:type="dxa" w:w="80"/>
              <w:left w:type="dxa" w:w="160"/>
              <w:bottom w:type="dxa" w:w="80"/>
              <w:right w:type="dxa" w:w="80"/>
            </w:tcMar>
          </w:tcPr>
          <w:p>
            <w:pPr>
              <w:jc w:val="center"/>
            </w:pPr>
            <w:r>
              <w:rPr>
                <w:rFonts w:ascii="Arial" w:cs="Arial" w:eastAsia="Arial" w:hAnsi="Arial"/>
                <w:b/>
                <w:bCs/>
                <w:color w:val="2E75B6"/>
                <w:sz w:val="22"/>
                <w:szCs w:val="22"/>
              </w:rPr>
              <w:t xml:space="preserve">A</w:t>
            </w:r>
          </w:p>
        </w:tc>
        <w:tc>
          <w:tcPr>
            <w:tcW w:type="dxa" w:w="8800"/>
            <w:tcBorders>
              <w:top w:val="none" w:color="FFFFFF" w:sz="0"/>
              <w:left w:val="none" w:color="FFFFFF" w:sz="0"/>
              <w:bottom w:val="none" w:color="FFFFFF" w:sz="0"/>
              <w:right w:val="none" w:color="FFFFFF" w:sz="0"/>
            </w:tcBorders>
            <w:shd w:fill="E8F4FD" w:val="clear"/>
            <w:tcMar>
              <w:top w:type="dxa" w:w="100"/>
              <w:left w:type="dxa" w:w="160"/>
              <w:bottom w:type="dxa" w:w="100"/>
              <w:right w:type="dxa" w:w="160"/>
            </w:tcMar>
          </w:tcPr>
          <w:p>
            <w:r>
              <w:rPr>
                <w:rFonts w:ascii="Arial" w:cs="Arial" w:eastAsia="Arial" w:hAnsi="Arial"/>
                <w:color w:val="333333"/>
                <w:sz w:val="20"/>
                <w:szCs w:val="20"/>
              </w:rPr>
              <w:t xml:space="preserve">4 pedestrians at low density is a conservative starting point, not a claim about all crowd densities. The methodology scales to denser scenarios — the cost function and planner are not inherently limited to 4 people. However, the zone distances were extracted from naturalistic crowd data that spans a range of densities. Testing at higher densities is a clear future direction. The current setup was chosen to provide clean, interpretable comparisons between the three planners.</w:t>
            </w:r>
          </w:p>
        </w:tc>
      </w:tr>
      <w:tr>
        <w:tc>
          <w:tcPr>
            <w:tcW w:type="dxa" w:w="560"/>
            <w:tcBorders>
              <w:top w:val="none" w:color="FFFFFF" w:sz="0"/>
              <w:left w:val="none" w:color="FFFFFF" w:sz="0"/>
              <w:bottom w:val="none" w:color="FFFFFF" w:sz="0"/>
              <w:right w:val="none" w:color="FFFFFF" w:sz="0"/>
            </w:tcBorders>
            <w:shd w:fill="F5F5F5" w:val="clear"/>
            <w:tcMar>
              <w:top w:type="dxa" w:w="60"/>
              <w:left w:type="dxa" w:w="160"/>
              <w:bottom w:type="dxa" w:w="60"/>
              <w:right w:type="dxa" w:w="80"/>
            </w:tcMar>
          </w:tcPr>
          <w:p>
            <w:r>
              <w:rPr>
                <w:rFonts w:ascii="Arial" w:cs="Arial" w:eastAsia="Arial" w:hAnsi="Arial"/>
                <w:sz w:val="18"/>
                <w:szCs w:val="18"/>
              </w:rPr>
              <w:t xml:space="preserve">📚</w:t>
            </w:r>
          </w:p>
        </w:tc>
        <w:tc>
          <w:tcPr>
            <w:tcW w:type="dxa" w:w="8800"/>
            <w:tcBorders>
              <w:top w:val="dashed"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i/>
                <w:iCs/>
                <w:color w:val="555555"/>
                <w:sz w:val="18"/>
                <w:szCs w:val="18"/>
              </w:rPr>
              <w:t xml:space="preserve">Source(s): ETH/UCY dataset covers various crowd densities; Kruse et al. (2013) — discusses density effects on human-aware navigation.</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tblCellMar>
      </w:tblPr>
      <w:tblGrid>
        <w:gridCol w:w="560"/>
        <w:gridCol w:w="8800"/>
      </w:tblGrid>
      <w:tr>
        <w:tc>
          <w:tcPr>
            <w:tcW w:type="dxa" w:w="560"/>
            <w:tcBorders>
              <w:top w:val="none" w:color="FFFFFF" w:sz="0"/>
              <w:left w:val="none" w:color="FFFFFF" w:sz="0"/>
              <w:bottom w:val="none" w:color="FFFFFF" w:sz="0"/>
              <w:right w:val="none" w:color="FFFFFF" w:sz="0"/>
            </w:tcBorders>
            <w:shd w:fill="AED6F1" w:val="clear"/>
            <w:tcMar>
              <w:top w:type="dxa" w:w="80"/>
              <w:left w:type="dxa" w:w="160"/>
              <w:bottom w:type="dxa" w:w="80"/>
              <w:right w:type="dxa" w:w="80"/>
            </w:tcMar>
          </w:tcPr>
          <w:p>
            <w:pPr>
              <w:jc w:val="center"/>
            </w:pPr>
            <w:r>
              <w:rPr>
                <w:rFonts w:ascii="Arial" w:cs="Arial" w:eastAsia="Arial" w:hAnsi="Arial"/>
                <w:b/>
                <w:bCs/>
                <w:color w:val="FFFFFF"/>
                <w:sz w:val="22"/>
                <w:szCs w:val="22"/>
              </w:rPr>
              <w:t xml:space="preserve">Q3</w:t>
            </w:r>
          </w:p>
        </w:tc>
        <w:tc>
          <w:tcPr>
            <w:tcW w:type="dxa" w:w="8800"/>
            <w:tcBorders>
              <w:top w:val="none" w:color="FFFFFF" w:sz="0"/>
              <w:left w:val="none" w:color="FFFFFF" w:sz="0"/>
              <w:bottom w:val="none" w:color="FFFFFF" w:sz="0"/>
              <w:right w:val="none" w:color="FFFFFF" w:sz="0"/>
            </w:tcBorders>
            <w:shd w:fill="D6E4F0" w:val="clear"/>
            <w:tcMar>
              <w:top w:type="dxa" w:w="100"/>
              <w:left w:type="dxa" w:w="160"/>
              <w:bottom w:type="dxa" w:w="100"/>
              <w:right w:type="dxa" w:w="160"/>
            </w:tcMar>
          </w:tcPr>
          <w:p>
            <w:r>
              <w:rPr>
                <w:rFonts w:ascii="Arial" w:cs="Arial" w:eastAsia="Arial" w:hAnsi="Arial"/>
                <w:b/>
                <w:bCs/>
                <w:color w:val="1F4E79"/>
                <w:sz w:val="22"/>
                <w:szCs w:val="22"/>
              </w:rPr>
              <w:t xml:space="preserve">You assumed pedestrian facing direction from velocity. How accurate is this really?</w:t>
            </w:r>
          </w:p>
        </w:tc>
      </w:tr>
      <w:tr>
        <w:tc>
          <w:tcPr>
            <w:tcW w:type="dxa" w:w="560"/>
            <w:tcBorders>
              <w:top w:val="none" w:color="FFFFFF" w:sz="0"/>
              <w:left w:val="none" w:color="FFFFFF" w:sz="0"/>
              <w:bottom w:val="none" w:color="FFFFFF" w:sz="0"/>
              <w:right w:val="none" w:color="FFFFFF" w:sz="0"/>
            </w:tcBorders>
            <w:shd w:fill="E8F4FD" w:val="clear"/>
            <w:tcMar>
              <w:top w:type="dxa" w:w="80"/>
              <w:left w:type="dxa" w:w="160"/>
              <w:bottom w:type="dxa" w:w="80"/>
              <w:right w:type="dxa" w:w="80"/>
            </w:tcMar>
          </w:tcPr>
          <w:p>
            <w:pPr>
              <w:jc w:val="center"/>
            </w:pPr>
            <w:r>
              <w:rPr>
                <w:rFonts w:ascii="Arial" w:cs="Arial" w:eastAsia="Arial" w:hAnsi="Arial"/>
                <w:b/>
                <w:bCs/>
                <w:color w:val="2E75B6"/>
                <w:sz w:val="22"/>
                <w:szCs w:val="22"/>
              </w:rPr>
              <w:t xml:space="preserve">A</w:t>
            </w:r>
          </w:p>
        </w:tc>
        <w:tc>
          <w:tcPr>
            <w:tcW w:type="dxa" w:w="8800"/>
            <w:tcBorders>
              <w:top w:val="none" w:color="FFFFFF" w:sz="0"/>
              <w:left w:val="none" w:color="FFFFFF" w:sz="0"/>
              <w:bottom w:val="none" w:color="FFFFFF" w:sz="0"/>
              <w:right w:val="none" w:color="FFFFFF" w:sz="0"/>
            </w:tcBorders>
            <w:shd w:fill="E8F4FD" w:val="clear"/>
            <w:tcMar>
              <w:top w:type="dxa" w:w="100"/>
              <w:left w:type="dxa" w:w="160"/>
              <w:bottom w:type="dxa" w:w="100"/>
              <w:right w:type="dxa" w:w="160"/>
            </w:tcMar>
          </w:tcPr>
          <w:p>
            <w:r>
              <w:rPr>
                <w:rFonts w:ascii="Arial" w:cs="Arial" w:eastAsia="Arial" w:hAnsi="Arial"/>
                <w:color w:val="333333"/>
                <w:sz w:val="20"/>
                <w:szCs w:val="20"/>
              </w:rPr>
              <w:t xml:space="preserve">It is a reasonable approximation but not perfect. People sometimes look sideways, turn to talk, or pause while facing a different direction than they were moving. In the ETH/UCY data, which is collected in naturalistic settings, velocity is a good proxy for facing direction on average, but individual frames may be inaccurate. Future work with head-pose estimation (from camera data or RGB-D sensors) would improve this. The impact is that some zone assignments at individual timesteps may be incorrect, but the statistical extraction over 443,074 pairs smooths out individual errors.</w:t>
            </w:r>
          </w:p>
        </w:tc>
      </w:tr>
      <w:tr>
        <w:tc>
          <w:tcPr>
            <w:tcW w:type="dxa" w:w="560"/>
            <w:tcBorders>
              <w:top w:val="none" w:color="FFFFFF" w:sz="0"/>
              <w:left w:val="none" w:color="FFFFFF" w:sz="0"/>
              <w:bottom w:val="none" w:color="FFFFFF" w:sz="0"/>
              <w:right w:val="none" w:color="FFFFFF" w:sz="0"/>
            </w:tcBorders>
            <w:shd w:fill="F5F5F5" w:val="clear"/>
            <w:tcMar>
              <w:top w:type="dxa" w:w="60"/>
              <w:left w:type="dxa" w:w="160"/>
              <w:bottom w:type="dxa" w:w="60"/>
              <w:right w:type="dxa" w:w="80"/>
            </w:tcMar>
          </w:tcPr>
          <w:p>
            <w:r>
              <w:rPr>
                <w:rFonts w:ascii="Arial" w:cs="Arial" w:eastAsia="Arial" w:hAnsi="Arial"/>
                <w:sz w:val="18"/>
                <w:szCs w:val="18"/>
              </w:rPr>
              <w:t xml:space="preserve">📚</w:t>
            </w:r>
          </w:p>
        </w:tc>
        <w:tc>
          <w:tcPr>
            <w:tcW w:type="dxa" w:w="8800"/>
            <w:tcBorders>
              <w:top w:val="dashed"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i/>
                <w:iCs/>
                <w:color w:val="555555"/>
                <w:sz w:val="18"/>
                <w:szCs w:val="18"/>
              </w:rPr>
              <w:t xml:space="preserve">Source(s): Pellegrini et al. (2009) — ETH dataset capture methodology; standard assumption in crowd simulation literature.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tblCellMar>
      </w:tblPr>
      <w:tblGrid>
        <w:gridCol w:w="560"/>
        <w:gridCol w:w="8800"/>
      </w:tblGrid>
      <w:tr>
        <w:tc>
          <w:tcPr>
            <w:tcW w:type="dxa" w:w="560"/>
            <w:tcBorders>
              <w:top w:val="none" w:color="FFFFFF" w:sz="0"/>
              <w:left w:val="none" w:color="FFFFFF" w:sz="0"/>
              <w:bottom w:val="none" w:color="FFFFFF" w:sz="0"/>
              <w:right w:val="none" w:color="FFFFFF" w:sz="0"/>
            </w:tcBorders>
            <w:shd w:fill="AED6F1" w:val="clear"/>
            <w:tcMar>
              <w:top w:type="dxa" w:w="80"/>
              <w:left w:type="dxa" w:w="160"/>
              <w:bottom w:type="dxa" w:w="80"/>
              <w:right w:type="dxa" w:w="80"/>
            </w:tcMar>
          </w:tcPr>
          <w:p>
            <w:pPr>
              <w:jc w:val="center"/>
            </w:pPr>
            <w:r>
              <w:rPr>
                <w:rFonts w:ascii="Arial" w:cs="Arial" w:eastAsia="Arial" w:hAnsi="Arial"/>
                <w:b/>
                <w:bCs/>
                <w:color w:val="FFFFFF"/>
                <w:sz w:val="22"/>
                <w:szCs w:val="22"/>
              </w:rPr>
              <w:t xml:space="preserve">Q4</w:t>
            </w:r>
          </w:p>
        </w:tc>
        <w:tc>
          <w:tcPr>
            <w:tcW w:type="dxa" w:w="8800"/>
            <w:tcBorders>
              <w:top w:val="none" w:color="FFFFFF" w:sz="0"/>
              <w:left w:val="none" w:color="FFFFFF" w:sz="0"/>
              <w:bottom w:val="none" w:color="FFFFFF" w:sz="0"/>
              <w:right w:val="none" w:color="FFFFFF" w:sz="0"/>
            </w:tcBorders>
            <w:shd w:fill="D6E4F0" w:val="clear"/>
            <w:tcMar>
              <w:top w:type="dxa" w:w="100"/>
              <w:left w:type="dxa" w:w="160"/>
              <w:bottom w:type="dxa" w:w="100"/>
              <w:right w:type="dxa" w:w="160"/>
            </w:tcMar>
          </w:tcPr>
          <w:p>
            <w:r>
              <w:rPr>
                <w:rFonts w:ascii="Arial" w:cs="Arial" w:eastAsia="Arial" w:hAnsi="Arial"/>
                <w:b/>
                <w:bCs/>
                <w:color w:val="1F4E79"/>
                <w:sz w:val="22"/>
                <w:szCs w:val="22"/>
              </w:rPr>
              <w:t xml:space="preserve">Have you tested this with a real robot? What would that take?</w:t>
            </w:r>
          </w:p>
        </w:tc>
      </w:tr>
      <w:tr>
        <w:tc>
          <w:tcPr>
            <w:tcW w:type="dxa" w:w="560"/>
            <w:tcBorders>
              <w:top w:val="none" w:color="FFFFFF" w:sz="0"/>
              <w:left w:val="none" w:color="FFFFFF" w:sz="0"/>
              <w:bottom w:val="none" w:color="FFFFFF" w:sz="0"/>
              <w:right w:val="none" w:color="FFFFFF" w:sz="0"/>
            </w:tcBorders>
            <w:shd w:fill="E8F4FD" w:val="clear"/>
            <w:tcMar>
              <w:top w:type="dxa" w:w="80"/>
              <w:left w:type="dxa" w:w="160"/>
              <w:bottom w:type="dxa" w:w="80"/>
              <w:right w:type="dxa" w:w="80"/>
            </w:tcMar>
          </w:tcPr>
          <w:p>
            <w:pPr>
              <w:jc w:val="center"/>
            </w:pPr>
            <w:r>
              <w:rPr>
                <w:rFonts w:ascii="Arial" w:cs="Arial" w:eastAsia="Arial" w:hAnsi="Arial"/>
                <w:b/>
                <w:bCs/>
                <w:color w:val="2E75B6"/>
                <w:sz w:val="22"/>
                <w:szCs w:val="22"/>
              </w:rPr>
              <w:t xml:space="preserve">A</w:t>
            </w:r>
          </w:p>
        </w:tc>
        <w:tc>
          <w:tcPr>
            <w:tcW w:type="dxa" w:w="8800"/>
            <w:tcBorders>
              <w:top w:val="none" w:color="FFFFFF" w:sz="0"/>
              <w:left w:val="none" w:color="FFFFFF" w:sz="0"/>
              <w:bottom w:val="none" w:color="FFFFFF" w:sz="0"/>
              <w:right w:val="none" w:color="FFFFFF" w:sz="0"/>
            </w:tcBorders>
            <w:shd w:fill="E8F4FD" w:val="clear"/>
            <w:tcMar>
              <w:top w:type="dxa" w:w="100"/>
              <w:left w:type="dxa" w:w="160"/>
              <w:bottom w:type="dxa" w:w="100"/>
              <w:right w:type="dxa" w:w="160"/>
            </w:tcMar>
          </w:tcPr>
          <w:p>
            <w:r>
              <w:rPr>
                <w:rFonts w:ascii="Arial" w:cs="Arial" w:eastAsia="Arial" w:hAnsi="Arial"/>
                <w:color w:val="333333"/>
                <w:sz w:val="20"/>
                <w:szCs w:val="20"/>
              </w:rPr>
              <w:t xml:space="preserve">No real robot experiments were conducted — this is a simulation study. Deployment would require: (1) a mobile robot platform with LIDAR or RGB-D sensing to detect and track pedestrians in real time; (2) a real-time replanning capability (currently open-loop); (3) real-time pedestrian tracking (pose and velocity estimation); (4) integration with a robot middleware like ROS2. The simulation results are a validated proof-of-concept. Real robot deployment is the primary future direction.</w:t>
            </w:r>
          </w:p>
        </w:tc>
      </w:tr>
      <w:tr>
        <w:tc>
          <w:tcPr>
            <w:tcW w:type="dxa" w:w="560"/>
            <w:tcBorders>
              <w:top w:val="none" w:color="FFFFFF" w:sz="0"/>
              <w:left w:val="none" w:color="FFFFFF" w:sz="0"/>
              <w:bottom w:val="none" w:color="FFFFFF" w:sz="0"/>
              <w:right w:val="none" w:color="FFFFFF" w:sz="0"/>
            </w:tcBorders>
            <w:shd w:fill="F5F5F5" w:val="clear"/>
            <w:tcMar>
              <w:top w:type="dxa" w:w="60"/>
              <w:left w:type="dxa" w:w="160"/>
              <w:bottom w:type="dxa" w:w="60"/>
              <w:right w:type="dxa" w:w="80"/>
            </w:tcMar>
          </w:tcPr>
          <w:p>
            <w:r>
              <w:rPr>
                <w:rFonts w:ascii="Arial" w:cs="Arial" w:eastAsia="Arial" w:hAnsi="Arial"/>
                <w:sz w:val="18"/>
                <w:szCs w:val="18"/>
              </w:rPr>
              <w:t xml:space="preserve">📚</w:t>
            </w:r>
          </w:p>
        </w:tc>
        <w:tc>
          <w:tcPr>
            <w:tcW w:type="dxa" w:w="8800"/>
            <w:tcBorders>
              <w:top w:val="dashed"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i/>
                <w:iCs/>
                <w:color w:val="555555"/>
                <w:sz w:val="18"/>
                <w:szCs w:val="18"/>
              </w:rPr>
              <w:t xml:space="preserve">Source(s): Kirby (2010) CMU thesis — discusses sim-to-real transfer for social navigation; Mead &amp; Mataric (2017) — real robot proxemics studies.</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tblCellMar>
      </w:tblPr>
      <w:tblGrid>
        <w:gridCol w:w="560"/>
        <w:gridCol w:w="8800"/>
      </w:tblGrid>
      <w:tr>
        <w:tc>
          <w:tcPr>
            <w:tcW w:type="dxa" w:w="560"/>
            <w:tcBorders>
              <w:top w:val="none" w:color="FFFFFF" w:sz="0"/>
              <w:left w:val="none" w:color="FFFFFF" w:sz="0"/>
              <w:bottom w:val="none" w:color="FFFFFF" w:sz="0"/>
              <w:right w:val="none" w:color="FFFFFF" w:sz="0"/>
            </w:tcBorders>
            <w:shd w:fill="AED6F1" w:val="clear"/>
            <w:tcMar>
              <w:top w:type="dxa" w:w="80"/>
              <w:left w:type="dxa" w:w="160"/>
              <w:bottom w:type="dxa" w:w="80"/>
              <w:right w:type="dxa" w:w="80"/>
            </w:tcMar>
          </w:tcPr>
          <w:p>
            <w:pPr>
              <w:jc w:val="center"/>
            </w:pPr>
            <w:r>
              <w:rPr>
                <w:rFonts w:ascii="Arial" w:cs="Arial" w:eastAsia="Arial" w:hAnsi="Arial"/>
                <w:b/>
                <w:bCs/>
                <w:color w:val="FFFFFF"/>
                <w:sz w:val="22"/>
                <w:szCs w:val="22"/>
              </w:rPr>
              <w:t xml:space="preserve">Q5</w:t>
            </w:r>
          </w:p>
        </w:tc>
        <w:tc>
          <w:tcPr>
            <w:tcW w:type="dxa" w:w="8800"/>
            <w:tcBorders>
              <w:top w:val="none" w:color="FFFFFF" w:sz="0"/>
              <w:left w:val="none" w:color="FFFFFF" w:sz="0"/>
              <w:bottom w:val="none" w:color="FFFFFF" w:sz="0"/>
              <w:right w:val="none" w:color="FFFFFF" w:sz="0"/>
            </w:tcBorders>
            <w:shd w:fill="D6E4F0" w:val="clear"/>
            <w:tcMar>
              <w:top w:type="dxa" w:w="100"/>
              <w:left w:type="dxa" w:w="160"/>
              <w:bottom w:type="dxa" w:w="100"/>
              <w:right w:type="dxa" w:w="160"/>
            </w:tcMar>
          </w:tcPr>
          <w:p>
            <w:r>
              <w:rPr>
                <w:rFonts w:ascii="Arial" w:cs="Arial" w:eastAsia="Arial" w:hAnsi="Arial"/>
                <w:b/>
                <w:bCs/>
                <w:color w:val="1F4E79"/>
                <w:sz w:val="22"/>
                <w:szCs w:val="22"/>
              </w:rPr>
              <w:t xml:space="preserve">Your zone distances are fixed constants. Do they need to vary by context (culture, age, crowd density)?</w:t>
            </w:r>
          </w:p>
        </w:tc>
      </w:tr>
      <w:tr>
        <w:tc>
          <w:tcPr>
            <w:tcW w:type="dxa" w:w="560"/>
            <w:tcBorders>
              <w:top w:val="none" w:color="FFFFFF" w:sz="0"/>
              <w:left w:val="none" w:color="FFFFFF" w:sz="0"/>
              <w:bottom w:val="none" w:color="FFFFFF" w:sz="0"/>
              <w:right w:val="none" w:color="FFFFFF" w:sz="0"/>
            </w:tcBorders>
            <w:shd w:fill="E8F4FD" w:val="clear"/>
            <w:tcMar>
              <w:top w:type="dxa" w:w="80"/>
              <w:left w:type="dxa" w:w="160"/>
              <w:bottom w:type="dxa" w:w="80"/>
              <w:right w:type="dxa" w:w="80"/>
            </w:tcMar>
          </w:tcPr>
          <w:p>
            <w:pPr>
              <w:jc w:val="center"/>
            </w:pPr>
            <w:r>
              <w:rPr>
                <w:rFonts w:ascii="Arial" w:cs="Arial" w:eastAsia="Arial" w:hAnsi="Arial"/>
                <w:b/>
                <w:bCs/>
                <w:color w:val="2E75B6"/>
                <w:sz w:val="22"/>
                <w:szCs w:val="22"/>
              </w:rPr>
              <w:t xml:space="preserve">A</w:t>
            </w:r>
          </w:p>
        </w:tc>
        <w:tc>
          <w:tcPr>
            <w:tcW w:type="dxa" w:w="8800"/>
            <w:tcBorders>
              <w:top w:val="none" w:color="FFFFFF" w:sz="0"/>
              <w:left w:val="none" w:color="FFFFFF" w:sz="0"/>
              <w:bottom w:val="none" w:color="FFFFFF" w:sz="0"/>
              <w:right w:val="none" w:color="FFFFFF" w:sz="0"/>
            </w:tcBorders>
            <w:shd w:fill="E8F4FD" w:val="clear"/>
            <w:tcMar>
              <w:top w:type="dxa" w:w="100"/>
              <w:left w:type="dxa" w:w="160"/>
              <w:bottom w:type="dxa" w:w="100"/>
              <w:right w:type="dxa" w:w="160"/>
            </w:tcMar>
          </w:tcPr>
          <w:p>
            <w:r>
              <w:rPr>
                <w:rFonts w:ascii="Arial" w:cs="Arial" w:eastAsia="Arial" w:hAnsi="Arial"/>
                <w:color w:val="333333"/>
                <w:sz w:val="20"/>
                <w:szCs w:val="20"/>
              </w:rPr>
              <w:t xml:space="preserve">Yes — this is a genuine limitation. Hall (1966) himself noted cultural variation in personal space. Crowd density also affects tolerated proximity (people stand closer in packed trains than open parks). The current model uses single fixed values extracted from a dataset that is predominantly European pedestrians. Future work could condition zone distances on context features (density, culture, relationship type). For now, the fixed values represent a useful practical baseline that performs significantly better than the circular alternative.</w:t>
            </w:r>
          </w:p>
        </w:tc>
      </w:tr>
      <w:tr>
        <w:tc>
          <w:tcPr>
            <w:tcW w:type="dxa" w:w="560"/>
            <w:tcBorders>
              <w:top w:val="none" w:color="FFFFFF" w:sz="0"/>
              <w:left w:val="none" w:color="FFFFFF" w:sz="0"/>
              <w:bottom w:val="none" w:color="FFFFFF" w:sz="0"/>
              <w:right w:val="none" w:color="FFFFFF" w:sz="0"/>
            </w:tcBorders>
            <w:shd w:fill="F5F5F5" w:val="clear"/>
            <w:tcMar>
              <w:top w:type="dxa" w:w="60"/>
              <w:left w:type="dxa" w:w="160"/>
              <w:bottom w:type="dxa" w:w="60"/>
              <w:right w:type="dxa" w:w="80"/>
            </w:tcMar>
          </w:tcPr>
          <w:p>
            <w:r>
              <w:rPr>
                <w:rFonts w:ascii="Arial" w:cs="Arial" w:eastAsia="Arial" w:hAnsi="Arial"/>
                <w:sz w:val="18"/>
                <w:szCs w:val="18"/>
              </w:rPr>
              <w:t xml:space="preserve">📚</w:t>
            </w:r>
          </w:p>
        </w:tc>
        <w:tc>
          <w:tcPr>
            <w:tcW w:type="dxa" w:w="8800"/>
            <w:tcBorders>
              <w:top w:val="dashed"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i/>
                <w:iCs/>
                <w:color w:val="555555"/>
                <w:sz w:val="18"/>
                <w:szCs w:val="18"/>
              </w:rPr>
              <w:t xml:space="preserve">Source(s): Hall (1966) — cultural variation in proxemics; Kruse et al. (2013) — context-dependence of social comfort zones; Syrdal et al. (2007) — individual and cultural differences in robot proxemics.</w:t>
            </w:r>
          </w:p>
        </w:tc>
      </w:tr>
    </w:tbl>
    <w:p>
      <w:pPr>
        <w:spacing w:before="0" w:after="0"/>
      </w:pPr>
      <w:r>
        <w:t xml:space="preserve"/>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60"/>
              <w:left w:type="dxa" w:w="200"/>
              <w:bottom w:type="dxa" w:w="160"/>
              <w:right w:type="dxa" w:w="200"/>
            </w:tcMar>
          </w:tcPr>
          <w:p>
            <w:r>
              <w:rPr>
                <w:rFonts w:ascii="Arial" w:cs="Arial" w:eastAsia="Arial" w:hAnsi="Arial"/>
                <w:b/>
                <w:bCs/>
                <w:color w:val="FFFFFF"/>
                <w:sz w:val="28"/>
                <w:szCs w:val="28"/>
              </w:rPr>
              <w:t xml:space="preserve">CATEGORY 7: CONTRIBUTION &amp; SIGNIFICANCE</w:t>
            </w:r>
          </w:p>
          <w:p>
            <w:r>
              <w:rPr>
                <w:rFonts w:ascii="Arial" w:cs="Arial" w:eastAsia="Arial" w:hAnsi="Arial"/>
                <w:i/>
                <w:iCs/>
                <w:color w:val="BDC3C7"/>
                <w:sz w:val="20"/>
                <w:szCs w:val="20"/>
              </w:rPr>
              <w:t xml:space="preserve">What is genuinely new and what value it adds</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tblCellMar>
      </w:tblPr>
      <w:tblGrid>
        <w:gridCol w:w="560"/>
        <w:gridCol w:w="8800"/>
      </w:tblGrid>
      <w:tr>
        <w:tc>
          <w:tcPr>
            <w:tcW w:type="dxa" w:w="560"/>
            <w:tcBorders>
              <w:top w:val="none" w:color="FFFFFF" w:sz="0"/>
              <w:left w:val="none" w:color="FFFFFF" w:sz="0"/>
              <w:bottom w:val="none" w:color="FFFFFF" w:sz="0"/>
              <w:right w:val="none" w:color="FFFFFF" w:sz="0"/>
            </w:tcBorders>
            <w:shd w:fill="AED6F1" w:val="clear"/>
            <w:tcMar>
              <w:top w:type="dxa" w:w="80"/>
              <w:left w:type="dxa" w:w="160"/>
              <w:bottom w:type="dxa" w:w="80"/>
              <w:right w:type="dxa" w:w="80"/>
            </w:tcMar>
          </w:tcPr>
          <w:p>
            <w:pPr>
              <w:jc w:val="center"/>
            </w:pPr>
            <w:r>
              <w:rPr>
                <w:rFonts w:ascii="Arial" w:cs="Arial" w:eastAsia="Arial" w:hAnsi="Arial"/>
                <w:b/>
                <w:bCs/>
                <w:color w:val="FFFFFF"/>
                <w:sz w:val="22"/>
                <w:szCs w:val="22"/>
              </w:rPr>
              <w:t xml:space="preserve">Q1</w:t>
            </w:r>
          </w:p>
        </w:tc>
        <w:tc>
          <w:tcPr>
            <w:tcW w:type="dxa" w:w="8800"/>
            <w:tcBorders>
              <w:top w:val="none" w:color="FFFFFF" w:sz="0"/>
              <w:left w:val="none" w:color="FFFFFF" w:sz="0"/>
              <w:bottom w:val="none" w:color="FFFFFF" w:sz="0"/>
              <w:right w:val="none" w:color="FFFFFF" w:sz="0"/>
            </w:tcBorders>
            <w:shd w:fill="D6E4F0" w:val="clear"/>
            <w:tcMar>
              <w:top w:type="dxa" w:w="100"/>
              <w:left w:type="dxa" w:w="160"/>
              <w:bottom w:type="dxa" w:w="100"/>
              <w:right w:type="dxa" w:w="160"/>
            </w:tcMar>
          </w:tcPr>
          <w:p>
            <w:r>
              <w:rPr>
                <w:rFonts w:ascii="Arial" w:cs="Arial" w:eastAsia="Arial" w:hAnsi="Arial"/>
                <w:b/>
                <w:bCs/>
                <w:color w:val="1F4E79"/>
                <w:sz w:val="22"/>
                <w:szCs w:val="22"/>
              </w:rPr>
              <w:t xml:space="preserve">What is the most important new contribution of this project?</w:t>
            </w:r>
          </w:p>
        </w:tc>
      </w:tr>
      <w:tr>
        <w:tc>
          <w:tcPr>
            <w:tcW w:type="dxa" w:w="560"/>
            <w:tcBorders>
              <w:top w:val="none" w:color="FFFFFF" w:sz="0"/>
              <w:left w:val="none" w:color="FFFFFF" w:sz="0"/>
              <w:bottom w:val="none" w:color="FFFFFF" w:sz="0"/>
              <w:right w:val="none" w:color="FFFFFF" w:sz="0"/>
            </w:tcBorders>
            <w:shd w:fill="E8F4FD" w:val="clear"/>
            <w:tcMar>
              <w:top w:type="dxa" w:w="80"/>
              <w:left w:type="dxa" w:w="160"/>
              <w:bottom w:type="dxa" w:w="80"/>
              <w:right w:type="dxa" w:w="80"/>
            </w:tcMar>
          </w:tcPr>
          <w:p>
            <w:pPr>
              <w:jc w:val="center"/>
            </w:pPr>
            <w:r>
              <w:rPr>
                <w:rFonts w:ascii="Arial" w:cs="Arial" w:eastAsia="Arial" w:hAnsi="Arial"/>
                <w:b/>
                <w:bCs/>
                <w:color w:val="2E75B6"/>
                <w:sz w:val="22"/>
                <w:szCs w:val="22"/>
              </w:rPr>
              <w:t xml:space="preserve">A</w:t>
            </w:r>
          </w:p>
        </w:tc>
        <w:tc>
          <w:tcPr>
            <w:tcW w:type="dxa" w:w="8800"/>
            <w:tcBorders>
              <w:top w:val="none" w:color="FFFFFF" w:sz="0"/>
              <w:left w:val="none" w:color="FFFFFF" w:sz="0"/>
              <w:bottom w:val="none" w:color="FFFFFF" w:sz="0"/>
              <w:right w:val="none" w:color="FFFFFF" w:sz="0"/>
            </w:tcBorders>
            <w:shd w:fill="E8F4FD" w:val="clear"/>
            <w:tcMar>
              <w:top w:type="dxa" w:w="100"/>
              <w:left w:type="dxa" w:w="160"/>
              <w:bottom w:type="dxa" w:w="100"/>
              <w:right w:type="dxa" w:w="160"/>
            </w:tcMar>
          </w:tcPr>
          <w:p>
            <w:r>
              <w:rPr>
                <w:rFonts w:ascii="Arial" w:cs="Arial" w:eastAsia="Arial" w:hAnsi="Arial"/>
                <w:color w:val="333333"/>
                <w:sz w:val="20"/>
                <w:szCs w:val="20"/>
              </w:rPr>
              <w:t xml:space="preserve">The primary contribution is the first systematic empirical extraction of directional personal-space distances from the full ETH/UCY corpus — 443,074 agent pairs across 5 scenes — and their direct integration into a validated robot path planner. Previous work acknowledged asymmetry theoretically, but quantified it from smaller datasets or synthetic assumptions. The empirical grounding at scale, combined with the validated improvement in navigation outcomes, is what makes this contribution novel.</w:t>
            </w:r>
          </w:p>
        </w:tc>
      </w:tr>
      <w:tr>
        <w:tc>
          <w:tcPr>
            <w:tcW w:type="dxa" w:w="560"/>
            <w:tcBorders>
              <w:top w:val="none" w:color="FFFFFF" w:sz="0"/>
              <w:left w:val="none" w:color="FFFFFF" w:sz="0"/>
              <w:bottom w:val="none" w:color="FFFFFF" w:sz="0"/>
              <w:right w:val="none" w:color="FFFFFF" w:sz="0"/>
            </w:tcBorders>
            <w:shd w:fill="F5F5F5" w:val="clear"/>
            <w:tcMar>
              <w:top w:type="dxa" w:w="60"/>
              <w:left w:type="dxa" w:w="160"/>
              <w:bottom w:type="dxa" w:w="60"/>
              <w:right w:type="dxa" w:w="80"/>
            </w:tcMar>
          </w:tcPr>
          <w:p>
            <w:r>
              <w:rPr>
                <w:rFonts w:ascii="Arial" w:cs="Arial" w:eastAsia="Arial" w:hAnsi="Arial"/>
                <w:sz w:val="18"/>
                <w:szCs w:val="18"/>
              </w:rPr>
              <w:t xml:space="preserve">📚</w:t>
            </w:r>
          </w:p>
        </w:tc>
        <w:tc>
          <w:tcPr>
            <w:tcW w:type="dxa" w:w="8800"/>
            <w:tcBorders>
              <w:top w:val="dashed"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i/>
                <w:iCs/>
                <w:color w:val="555555"/>
                <w:sz w:val="18"/>
                <w:szCs w:val="18"/>
              </w:rPr>
              <w:t xml:space="preserve">Source(s): Truong &amp; Ngo (2017) — closest prior work, validated asymmetry but did not integrate into a full planning system at this scale; Pellegrini (2009), Lerner (2007) — dataset sources.</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tblCellMar>
      </w:tblPr>
      <w:tblGrid>
        <w:gridCol w:w="560"/>
        <w:gridCol w:w="8800"/>
      </w:tblGrid>
      <w:tr>
        <w:tc>
          <w:tcPr>
            <w:tcW w:type="dxa" w:w="560"/>
            <w:tcBorders>
              <w:top w:val="none" w:color="FFFFFF" w:sz="0"/>
              <w:left w:val="none" w:color="FFFFFF" w:sz="0"/>
              <w:bottom w:val="none" w:color="FFFFFF" w:sz="0"/>
              <w:right w:val="none" w:color="FFFFFF" w:sz="0"/>
            </w:tcBorders>
            <w:shd w:fill="AED6F1" w:val="clear"/>
            <w:tcMar>
              <w:top w:type="dxa" w:w="80"/>
              <w:left w:type="dxa" w:w="160"/>
              <w:bottom w:type="dxa" w:w="80"/>
              <w:right w:type="dxa" w:w="80"/>
            </w:tcMar>
          </w:tcPr>
          <w:p>
            <w:pPr>
              <w:jc w:val="center"/>
            </w:pPr>
            <w:r>
              <w:rPr>
                <w:rFonts w:ascii="Arial" w:cs="Arial" w:eastAsia="Arial" w:hAnsi="Arial"/>
                <w:b/>
                <w:bCs/>
                <w:color w:val="FFFFFF"/>
                <w:sz w:val="22"/>
                <w:szCs w:val="22"/>
              </w:rPr>
              <w:t xml:space="preserve">Q2</w:t>
            </w:r>
          </w:p>
        </w:tc>
        <w:tc>
          <w:tcPr>
            <w:tcW w:type="dxa" w:w="8800"/>
            <w:tcBorders>
              <w:top w:val="none" w:color="FFFFFF" w:sz="0"/>
              <w:left w:val="none" w:color="FFFFFF" w:sz="0"/>
              <w:bottom w:val="none" w:color="FFFFFF" w:sz="0"/>
              <w:right w:val="none" w:color="FFFFFF" w:sz="0"/>
            </w:tcBorders>
            <w:shd w:fill="D6E4F0" w:val="clear"/>
            <w:tcMar>
              <w:top w:type="dxa" w:w="100"/>
              <w:left w:type="dxa" w:w="160"/>
              <w:bottom w:type="dxa" w:w="100"/>
              <w:right w:type="dxa" w:w="160"/>
            </w:tcMar>
          </w:tcPr>
          <w:p>
            <w:r>
              <w:rPr>
                <w:rFonts w:ascii="Arial" w:cs="Arial" w:eastAsia="Arial" w:hAnsi="Arial"/>
                <w:b/>
                <w:bCs/>
                <w:color w:val="1F4E79"/>
                <w:sz w:val="22"/>
                <w:szCs w:val="22"/>
              </w:rPr>
              <w:t xml:space="preserve">ZoneLearnerNet got 99.1% accuracy — isn't that suspiciously high?</w:t>
            </w:r>
          </w:p>
        </w:tc>
      </w:tr>
      <w:tr>
        <w:tc>
          <w:tcPr>
            <w:tcW w:type="dxa" w:w="560"/>
            <w:tcBorders>
              <w:top w:val="none" w:color="FFFFFF" w:sz="0"/>
              <w:left w:val="none" w:color="FFFFFF" w:sz="0"/>
              <w:bottom w:val="none" w:color="FFFFFF" w:sz="0"/>
              <w:right w:val="none" w:color="FFFFFF" w:sz="0"/>
            </w:tcBorders>
            <w:shd w:fill="E8F4FD" w:val="clear"/>
            <w:tcMar>
              <w:top w:type="dxa" w:w="80"/>
              <w:left w:type="dxa" w:w="160"/>
              <w:bottom w:type="dxa" w:w="80"/>
              <w:right w:type="dxa" w:w="80"/>
            </w:tcMar>
          </w:tcPr>
          <w:p>
            <w:pPr>
              <w:jc w:val="center"/>
            </w:pPr>
            <w:r>
              <w:rPr>
                <w:rFonts w:ascii="Arial" w:cs="Arial" w:eastAsia="Arial" w:hAnsi="Arial"/>
                <w:b/>
                <w:bCs/>
                <w:color w:val="2E75B6"/>
                <w:sz w:val="22"/>
                <w:szCs w:val="22"/>
              </w:rPr>
              <w:t xml:space="preserve">A</w:t>
            </w:r>
          </w:p>
        </w:tc>
        <w:tc>
          <w:tcPr>
            <w:tcW w:type="dxa" w:w="8800"/>
            <w:tcBorders>
              <w:top w:val="none" w:color="FFFFFF" w:sz="0"/>
              <w:left w:val="none" w:color="FFFFFF" w:sz="0"/>
              <w:bottom w:val="none" w:color="FFFFFF" w:sz="0"/>
              <w:right w:val="none" w:color="FFFFFF" w:sz="0"/>
            </w:tcBorders>
            <w:shd w:fill="E8F4FD" w:val="clear"/>
            <w:tcMar>
              <w:top w:type="dxa" w:w="100"/>
              <w:left w:type="dxa" w:w="160"/>
              <w:bottom w:type="dxa" w:w="100"/>
              <w:right w:type="dxa" w:w="160"/>
            </w:tcMar>
          </w:tcPr>
          <w:p>
            <w:r>
              <w:rPr>
                <w:rFonts w:ascii="Arial" w:cs="Arial" w:eastAsia="Arial" w:hAnsi="Arial"/>
                <w:color w:val="333333"/>
                <w:sz w:val="20"/>
                <w:szCs w:val="20"/>
              </w:rPr>
              <w:t xml:space="preserve">It reflects the binary nature of the task: is the robot inside or outside the zone? The zone boundary is a deterministic mathematical function, so a network with 199,278 training examples learning a smooth geometric boundary can indeed achieve near-perfect accuracy. It is not suspicious — it confirms that the asymmetric zone model has a clean, learnable structure. The interesting finding is not the accuracy number itself but what it demonstrates: the boundary structure implicit in real pedestrian trajectory data can be recovered by a simple neural network.</w:t>
            </w:r>
          </w:p>
        </w:tc>
      </w:tr>
      <w:tr>
        <w:tc>
          <w:tcPr>
            <w:tcW w:type="dxa" w:w="560"/>
            <w:tcBorders>
              <w:top w:val="none" w:color="FFFFFF" w:sz="0"/>
              <w:left w:val="none" w:color="FFFFFF" w:sz="0"/>
              <w:bottom w:val="none" w:color="FFFFFF" w:sz="0"/>
              <w:right w:val="none" w:color="FFFFFF" w:sz="0"/>
            </w:tcBorders>
            <w:shd w:fill="F5F5F5" w:val="clear"/>
            <w:tcMar>
              <w:top w:type="dxa" w:w="60"/>
              <w:left w:type="dxa" w:w="160"/>
              <w:bottom w:type="dxa" w:w="60"/>
              <w:right w:type="dxa" w:w="80"/>
            </w:tcMar>
          </w:tcPr>
          <w:p>
            <w:r>
              <w:rPr>
                <w:rFonts w:ascii="Arial" w:cs="Arial" w:eastAsia="Arial" w:hAnsi="Arial"/>
                <w:sz w:val="18"/>
                <w:szCs w:val="18"/>
              </w:rPr>
              <w:t xml:space="preserve">📚</w:t>
            </w:r>
          </w:p>
        </w:tc>
        <w:tc>
          <w:tcPr>
            <w:tcW w:type="dxa" w:w="8800"/>
            <w:tcBorders>
              <w:top w:val="dashed"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i/>
                <w:iCs/>
                <w:color w:val="555555"/>
                <w:sz w:val="18"/>
                <w:szCs w:val="18"/>
              </w:rPr>
              <w:t xml:space="preserve">Source(s): ZoneLearnerNet training pipeline in train_zone_learner.py; Glorot &amp; Bengio (2010) — architecture justification; trained on 199,278 samples from real ETH/UCY data.</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tblCellMar>
      </w:tblPr>
      <w:tblGrid>
        <w:gridCol w:w="560"/>
        <w:gridCol w:w="8800"/>
      </w:tblGrid>
      <w:tr>
        <w:tc>
          <w:tcPr>
            <w:tcW w:type="dxa" w:w="560"/>
            <w:tcBorders>
              <w:top w:val="none" w:color="FFFFFF" w:sz="0"/>
              <w:left w:val="none" w:color="FFFFFF" w:sz="0"/>
              <w:bottom w:val="none" w:color="FFFFFF" w:sz="0"/>
              <w:right w:val="none" w:color="FFFFFF" w:sz="0"/>
            </w:tcBorders>
            <w:shd w:fill="AED6F1" w:val="clear"/>
            <w:tcMar>
              <w:top w:type="dxa" w:w="80"/>
              <w:left w:type="dxa" w:w="160"/>
              <w:bottom w:type="dxa" w:w="80"/>
              <w:right w:type="dxa" w:w="80"/>
            </w:tcMar>
          </w:tcPr>
          <w:p>
            <w:pPr>
              <w:jc w:val="center"/>
            </w:pPr>
            <w:r>
              <w:rPr>
                <w:rFonts w:ascii="Arial" w:cs="Arial" w:eastAsia="Arial" w:hAnsi="Arial"/>
                <w:b/>
                <w:bCs/>
                <w:color w:val="FFFFFF"/>
                <w:sz w:val="22"/>
                <w:szCs w:val="22"/>
              </w:rPr>
              <w:t xml:space="preserve">Q3</w:t>
            </w:r>
          </w:p>
        </w:tc>
        <w:tc>
          <w:tcPr>
            <w:tcW w:type="dxa" w:w="8800"/>
            <w:tcBorders>
              <w:top w:val="none" w:color="FFFFFF" w:sz="0"/>
              <w:left w:val="none" w:color="FFFFFF" w:sz="0"/>
              <w:bottom w:val="none" w:color="FFFFFF" w:sz="0"/>
              <w:right w:val="none" w:color="FFFFFF" w:sz="0"/>
            </w:tcBorders>
            <w:shd w:fill="D6E4F0" w:val="clear"/>
            <w:tcMar>
              <w:top w:type="dxa" w:w="100"/>
              <w:left w:type="dxa" w:w="160"/>
              <w:bottom w:type="dxa" w:w="100"/>
              <w:right w:type="dxa" w:w="160"/>
            </w:tcMar>
          </w:tcPr>
          <w:p>
            <w:r>
              <w:rPr>
                <w:rFonts w:ascii="Arial" w:cs="Arial" w:eastAsia="Arial" w:hAnsi="Arial"/>
                <w:b/>
                <w:bCs/>
                <w:color w:val="1F4E79"/>
                <w:sz w:val="22"/>
                <w:szCs w:val="22"/>
              </w:rPr>
              <w:t xml:space="preserve">Where would you publish this work? What venues would accept it?</w:t>
            </w:r>
          </w:p>
        </w:tc>
      </w:tr>
      <w:tr>
        <w:tc>
          <w:tcPr>
            <w:tcW w:type="dxa" w:w="560"/>
            <w:tcBorders>
              <w:top w:val="none" w:color="FFFFFF" w:sz="0"/>
              <w:left w:val="none" w:color="FFFFFF" w:sz="0"/>
              <w:bottom w:val="none" w:color="FFFFFF" w:sz="0"/>
              <w:right w:val="none" w:color="FFFFFF" w:sz="0"/>
            </w:tcBorders>
            <w:shd w:fill="E8F4FD" w:val="clear"/>
            <w:tcMar>
              <w:top w:type="dxa" w:w="80"/>
              <w:left w:type="dxa" w:w="160"/>
              <w:bottom w:type="dxa" w:w="80"/>
              <w:right w:type="dxa" w:w="80"/>
            </w:tcMar>
          </w:tcPr>
          <w:p>
            <w:pPr>
              <w:jc w:val="center"/>
            </w:pPr>
            <w:r>
              <w:rPr>
                <w:rFonts w:ascii="Arial" w:cs="Arial" w:eastAsia="Arial" w:hAnsi="Arial"/>
                <w:b/>
                <w:bCs/>
                <w:color w:val="2E75B6"/>
                <w:sz w:val="22"/>
                <w:szCs w:val="22"/>
              </w:rPr>
              <w:t xml:space="preserve">A</w:t>
            </w:r>
          </w:p>
        </w:tc>
        <w:tc>
          <w:tcPr>
            <w:tcW w:type="dxa" w:w="8800"/>
            <w:tcBorders>
              <w:top w:val="none" w:color="FFFFFF" w:sz="0"/>
              <w:left w:val="none" w:color="FFFFFF" w:sz="0"/>
              <w:bottom w:val="none" w:color="FFFFFF" w:sz="0"/>
              <w:right w:val="none" w:color="FFFFFF" w:sz="0"/>
            </w:tcBorders>
            <w:shd w:fill="E8F4FD" w:val="clear"/>
            <w:tcMar>
              <w:top w:type="dxa" w:w="100"/>
              <w:left w:type="dxa" w:w="160"/>
              <w:bottom w:type="dxa" w:w="100"/>
              <w:right w:type="dxa" w:w="160"/>
            </w:tcMar>
          </w:tcPr>
          <w:p>
            <w:r>
              <w:rPr>
                <w:rFonts w:ascii="Arial" w:cs="Arial" w:eastAsia="Arial" w:hAnsi="Arial"/>
                <w:color w:val="333333"/>
                <w:sz w:val="20"/>
                <w:szCs w:val="20"/>
              </w:rPr>
              <w:t xml:space="preserve">Appropriate venues include: IEEE International Conference on Robotics and Automation (ICRA), IEEE/RSJ Intelligent Robots and Systems (IROS), or the ACM/IEEE Human-Robot Interaction (HRI) conference. The work spans robot navigation, proxemics, and neural learning — HRI would be strongest for the human-comfort angle. A journal submission to Robotics and Autonomous Systems (RAS) or IEEE Transactions on Human-Machine Systems would also be appropriate. The key selling point is the data-driven grounding in real pedestrian behaviour.</w:t>
            </w:r>
          </w:p>
        </w:tc>
      </w:tr>
      <w:tr>
        <w:tc>
          <w:tcPr>
            <w:tcW w:type="dxa" w:w="560"/>
            <w:tcBorders>
              <w:top w:val="none" w:color="FFFFFF" w:sz="0"/>
              <w:left w:val="none" w:color="FFFFFF" w:sz="0"/>
              <w:bottom w:val="none" w:color="FFFFFF" w:sz="0"/>
              <w:right w:val="none" w:color="FFFFFF" w:sz="0"/>
            </w:tcBorders>
            <w:shd w:fill="F5F5F5" w:val="clear"/>
            <w:tcMar>
              <w:top w:type="dxa" w:w="60"/>
              <w:left w:type="dxa" w:w="160"/>
              <w:bottom w:type="dxa" w:w="60"/>
              <w:right w:type="dxa" w:w="80"/>
            </w:tcMar>
          </w:tcPr>
          <w:p>
            <w:r>
              <w:rPr>
                <w:rFonts w:ascii="Arial" w:cs="Arial" w:eastAsia="Arial" w:hAnsi="Arial"/>
                <w:sz w:val="18"/>
                <w:szCs w:val="18"/>
              </w:rPr>
              <w:t xml:space="preserve">📚</w:t>
            </w:r>
          </w:p>
        </w:tc>
        <w:tc>
          <w:tcPr>
            <w:tcW w:type="dxa" w:w="8800"/>
            <w:tcBorders>
              <w:top w:val="dashed"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i/>
                <w:iCs/>
                <w:color w:val="555555"/>
                <w:sz w:val="18"/>
                <w:szCs w:val="18"/>
              </w:rPr>
              <w:t xml:space="preserve">Source(s): Kruse et al. (2013) published in RAS; Sisbot et al. (2007) in IEEE T-RO; Truong &amp; Ngo (2017) in IEEE T-ASE — these established venues for human-aware navigation.</w:t>
            </w:r>
          </w:p>
        </w:tc>
      </w:tr>
    </w:tbl>
    <w:p>
      <w:pPr>
        <w:spacing w:before="0" w:after="0"/>
      </w:pPr>
      <w:r>
        <w:t xml:space="preserve"/>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20"/>
              <w:left w:type="dxa" w:w="200"/>
              <w:bottom w:type="dxa" w:w="120"/>
              <w:right w:type="dxa" w:w="200"/>
            </w:tcMar>
          </w:tcPr>
          <w:p>
            <w:pPr>
              <w:jc w:val="center"/>
            </w:pPr>
            <w:r>
              <w:rPr>
                <w:rFonts w:ascii="Arial" w:cs="Arial" w:eastAsia="Arial" w:hAnsi="Arial"/>
                <w:b/>
                <w:bCs/>
                <w:color w:val="FFFFFF"/>
                <w:sz w:val="26"/>
                <w:szCs w:val="26"/>
              </w:rPr>
              <w:t xml:space="preserve">KEY NUMBERS CHEAT SHEET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Dataset</w:t>
            </w:r>
          </w:p>
        </w:tc>
        <w:tc>
          <w:tcPr>
            <w:tcW w:type="dxa" w:w="7160"/>
            <w:tcBorders>
              <w:top w:val="single" w:color="CCCCCC" w:sz="1"/>
              <w:left w:val="single" w:color="CCCCCC" w:sz="1"/>
              <w:bottom w:val="single" w:color="CCCCCC" w:sz="1"/>
              <w:right w:val="single" w:color="CCCCCC" w:sz="1"/>
            </w:tcBorders>
            <w:shd w:fill="F9FBFF" w:val="clear"/>
            <w:tcMar>
              <w:top w:type="dxa" w:w="80"/>
              <w:left w:type="dxa" w:w="120"/>
              <w:bottom w:type="dxa" w:w="80"/>
              <w:right w:type="dxa" w:w="120"/>
            </w:tcMar>
          </w:tcPr>
          <w:p>
            <w:r>
              <w:rPr>
                <w:rFonts w:ascii="Arial" w:cs="Arial" w:eastAsia="Arial" w:hAnsi="Arial"/>
                <w:color w:val="333333"/>
                <w:sz w:val="18"/>
                <w:szCs w:val="18"/>
              </w:rPr>
              <w:t xml:space="preserve">ETH/UCY — 5 scenes: ETH, Hotel, Students03, Zara01, Zara02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rFonts w:ascii="Arial" w:cs="Arial" w:eastAsia="Arial" w:hAnsi="Arial"/>
                <w:b/>
                <w:bCs/>
                <w:color w:val="1F4E79"/>
                <w:sz w:val="18"/>
                <w:szCs w:val="18"/>
              </w:rPr>
              <w:t xml:space="preserve">Agent pairs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443,074 directed pairs analysed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Raw front / back distances</w:t>
            </w:r>
          </w:p>
        </w:tc>
        <w:tc>
          <w:tcPr>
            <w:tcW w:type="dxa" w:w="7160"/>
            <w:tcBorders>
              <w:top w:val="single" w:color="CCCCCC" w:sz="1"/>
              <w:left w:val="single" w:color="CCCCCC" w:sz="1"/>
              <w:bottom w:val="single" w:color="CCCCCC" w:sz="1"/>
              <w:right w:val="single" w:color="CCCCCC" w:sz="1"/>
            </w:tcBorders>
            <w:shd w:fill="F9FBFF" w:val="clear"/>
            <w:tcMar>
              <w:top w:type="dxa" w:w="80"/>
              <w:left w:type="dxa" w:w="120"/>
              <w:bottom w:type="dxa" w:w="80"/>
              <w:right w:type="dxa" w:w="120"/>
            </w:tcMar>
          </w:tcPr>
          <w:p>
            <w:r>
              <w:rPr>
                <w:rFonts w:ascii="Arial" w:cs="Arial" w:eastAsia="Arial" w:hAnsi="Arial"/>
                <w:color w:val="333333"/>
                <w:sz w:val="18"/>
                <w:szCs w:val="18"/>
              </w:rPr>
              <w:t xml:space="preserve">Front: 0.44m | Back: 0.41m | Left: 0.97m | Right: 0.93m (human-human)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rFonts w:ascii="Arial" w:cs="Arial" w:eastAsia="Arial" w:hAnsi="Arial"/>
                <w:b/>
                <w:bCs/>
                <w:color w:val="1F4E79"/>
                <w:sz w:val="18"/>
                <w:szCs w:val="18"/>
              </w:rPr>
              <w:t xml:space="preserve">Scale factors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Front ×4.0 | Back ×1.5 | Sides ×1.3 (justified by Hall 1966, Syrdal 2007)</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Final robot zones</w:t>
            </w:r>
          </w:p>
        </w:tc>
        <w:tc>
          <w:tcPr>
            <w:tcW w:type="dxa" w:w="7160"/>
            <w:tcBorders>
              <w:top w:val="single" w:color="CCCCCC" w:sz="1"/>
              <w:left w:val="single" w:color="CCCCCC" w:sz="1"/>
              <w:bottom w:val="single" w:color="CCCCCC" w:sz="1"/>
              <w:right w:val="single" w:color="CCCCCC" w:sz="1"/>
            </w:tcBorders>
            <w:shd w:fill="F9FBFF" w:val="clear"/>
            <w:tcMar>
              <w:top w:type="dxa" w:w="80"/>
              <w:left w:type="dxa" w:w="120"/>
              <w:bottom w:type="dxa" w:w="80"/>
              <w:right w:type="dxa" w:w="120"/>
            </w:tcMar>
          </w:tcPr>
          <w:p>
            <w:r>
              <w:rPr>
                <w:rFonts w:ascii="Arial" w:cs="Arial" w:eastAsia="Arial" w:hAnsi="Arial"/>
                <w:color w:val="333333"/>
                <w:sz w:val="18"/>
                <w:szCs w:val="18"/>
              </w:rPr>
              <w:t xml:space="preserve">Front: 1.74m | Back: 0.62m | Left: 1.26m | Right: 1.21m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rFonts w:ascii="Arial" w:cs="Arial" w:eastAsia="Arial" w:hAnsi="Arial"/>
                <w:b/>
                <w:bCs/>
                <w:color w:val="1F4E79"/>
                <w:sz w:val="18"/>
                <w:szCs w:val="18"/>
              </w:rPr>
              <w:t xml:space="preserve">ZoneLearnerNet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4→64→64→1 MLP, 199,278 training samples, 99.1% validation accuracy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SocialCostCNN</w:t>
            </w:r>
          </w:p>
        </w:tc>
        <w:tc>
          <w:tcPr>
            <w:tcW w:type="dxa" w:w="7160"/>
            <w:tcBorders>
              <w:top w:val="single" w:color="CCCCCC" w:sz="1"/>
              <w:left w:val="single" w:color="CCCCCC" w:sz="1"/>
              <w:bottom w:val="single" w:color="CCCCCC" w:sz="1"/>
              <w:right w:val="single" w:color="CCCCCC" w:sz="1"/>
            </w:tcBorders>
            <w:shd w:fill="F9FBFF" w:val="clear"/>
            <w:tcMar>
              <w:top w:type="dxa" w:w="80"/>
              <w:left w:type="dxa" w:w="120"/>
              <w:bottom w:type="dxa" w:w="80"/>
              <w:right w:type="dxa" w:w="120"/>
            </w:tcMar>
          </w:tcPr>
          <w:p>
            <w:r>
              <w:rPr>
                <w:rFonts w:ascii="Arial" w:cs="Arial" w:eastAsia="Arial" w:hAnsi="Arial"/>
                <w:color w:val="333333"/>
                <w:sz w:val="18"/>
                <w:szCs w:val="18"/>
              </w:rPr>
              <w:t xml:space="preserve">3-layer conv, MSE 0.0035 (5.7× below target), 10× faster than analytical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rFonts w:ascii="Arial" w:cs="Arial" w:eastAsia="Arial" w:hAnsi="Arial"/>
                <w:b/>
                <w:bCs/>
                <w:color w:val="1F4E79"/>
                <w:sz w:val="18"/>
                <w:szCs w:val="18"/>
              </w:rPr>
              <w:t xml:space="preserve">Asymmetric planner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92.0% success | 8.0% collisions | 9.50m path | 20.6ms plan time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Circular baseline</w:t>
            </w:r>
          </w:p>
        </w:tc>
        <w:tc>
          <w:tcPr>
            <w:tcW w:type="dxa" w:w="7160"/>
            <w:tcBorders>
              <w:top w:val="single" w:color="CCCCCC" w:sz="1"/>
              <w:left w:val="single" w:color="CCCCCC" w:sz="1"/>
              <w:bottom w:val="single" w:color="CCCCCC" w:sz="1"/>
              <w:right w:val="single" w:color="CCCCCC" w:sz="1"/>
            </w:tcBorders>
            <w:shd w:fill="F9FBFF" w:val="clear"/>
            <w:tcMar>
              <w:top w:type="dxa" w:w="80"/>
              <w:left w:type="dxa" w:w="120"/>
              <w:bottom w:type="dxa" w:w="80"/>
              <w:right w:type="dxa" w:w="120"/>
            </w:tcMar>
          </w:tcPr>
          <w:p>
            <w:r>
              <w:rPr>
                <w:rFonts w:ascii="Arial" w:cs="Arial" w:eastAsia="Arial" w:hAnsi="Arial"/>
                <w:color w:val="333333"/>
                <w:sz w:val="18"/>
                <w:szCs w:val="18"/>
              </w:rPr>
              <w:t xml:space="preserve">85.0% success | 15.0% collisions | 9.45m path | 12.1ms plan time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rFonts w:ascii="Arial" w:cs="Arial" w:eastAsia="Arial" w:hAnsi="Arial"/>
                <w:b/>
                <w:bCs/>
                <w:color w:val="1F4E79"/>
                <w:sz w:val="18"/>
                <w:szCs w:val="18"/>
              </w:rPr>
              <w:t xml:space="preserve">Neural planner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77.0% success | 23.0% collisions | 9.37m path | 31.0ms plan time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Key result</w:t>
            </w:r>
          </w:p>
        </w:tc>
        <w:tc>
          <w:tcPr>
            <w:tcW w:type="dxa" w:w="7160"/>
            <w:tcBorders>
              <w:top w:val="single" w:color="CCCCCC" w:sz="1"/>
              <w:left w:val="single" w:color="CCCCCC" w:sz="1"/>
              <w:bottom w:val="single" w:color="CCCCCC" w:sz="1"/>
              <w:right w:val="single" w:color="CCCCCC" w:sz="1"/>
            </w:tcBorders>
            <w:shd w:fill="F9FBFF" w:val="clear"/>
            <w:tcMar>
              <w:top w:type="dxa" w:w="80"/>
              <w:left w:type="dxa" w:w="120"/>
              <w:bottom w:type="dxa" w:w="80"/>
              <w:right w:type="dxa" w:w="120"/>
            </w:tcMar>
          </w:tcPr>
          <w:p>
            <w:r>
              <w:rPr>
                <w:rFonts w:ascii="Arial" w:cs="Arial" w:eastAsia="Arial" w:hAnsi="Arial"/>
                <w:color w:val="333333"/>
                <w:sz w:val="18"/>
                <w:szCs w:val="18"/>
              </w:rPr>
              <w:t xml:space="preserve">+7 pp success (+8.2% relative) | 47% fewer collisions | +0.5% path overhead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rFonts w:ascii="Arial" w:cs="Arial" w:eastAsia="Arial" w:hAnsi="Arial"/>
                <w:b/>
                <w:bCs/>
                <w:color w:val="1F4E79"/>
                <w:sz w:val="18"/>
                <w:szCs w:val="18"/>
              </w:rPr>
              <w:t xml:space="preserve">Reproducibility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5 runs × 100 episodes = 500 total; fixed deterministic seeds (not stochastic runs)</w:t>
            </w:r>
          </w:p>
        </w:tc>
      </w:tr>
    </w:tbl>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888888"/>
        <w:sz w:val="18"/>
        <w:szCs w:val="18"/>
      </w:rPr>
      <w:t xml:space="preserve">Social-Zone Nav  |  Advisor Meeting Prep  |  Jai Mali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F4E79"/>
      <w:sz w:val="28"/>
      <w:szCs w:val="28"/>
    </w:rPr>
  </w:style>
  <w:style w:type="paragraph" w:styleId="Heading2">
    <w:name w:val="Heading 2"/>
    <w:basedOn w:val="Normal"/>
    <w:next w:val="Normal"/>
    <w:qFormat/>
    <w:pPr>
      <w:spacing w:before="180" w:after="80"/>
      <w:outlineLvl w:val="1"/>
    </w:pPr>
    <w:rPr>
      <w:rFonts w:ascii="Arial" w:cs="Arial" w:eastAsia="Arial" w:hAnsi="Arial"/>
      <w:b/>
      <w:bCs/>
      <w:color w:val="2E75B6"/>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2026-02-22T09:58:40.121Z</dcterms:created>
  <dcterms:modified xsi:type="dcterms:W3CDTF">2026-02-22T09:58:40.122Z</dcterms:modified>
</cp:coreProperties>
</file>

<file path=docProps/custom.xml><?xml version="1.0" encoding="utf-8"?>
<Properties xmlns="http://schemas.openxmlformats.org/officeDocument/2006/custom-properties" xmlns:vt="http://schemas.openxmlformats.org/officeDocument/2006/docPropsVTypes"/>
</file>