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400"/>
              <w:left w:type="dxa" w:w="360"/>
              <w:bottom w:type="dxa" w:w="400"/>
              <w:right w:type="dxa" w:w="360"/>
            </w:tcMar>
          </w:tcPr>
          <w:p>
            <w:pPr>
              <w:spacing w:before="0" w:after="80"/>
              <w:jc w:val="center"/>
            </w:pPr>
            <w:r>
              <w:rPr>
                <w:rFonts w:ascii="Arial" w:cs="Arial" w:eastAsia="Arial" w:hAnsi="Arial"/>
                <w:b/>
                <w:bCs/>
                <w:color w:val="AED6F1"/>
                <w:spacing w:val="120"/>
                <w:sz w:val="14"/>
                <w:szCs w:val="14"/>
              </w:rPr>
              <w:t xml:space="preserve">NEURAL NETWORK COMPONENTS</w:t>
            </w:r>
          </w:p>
          <w:p>
            <w:pPr>
              <w:spacing w:before="0" w:after="100"/>
              <w:jc w:val="center"/>
            </w:pPr>
            <w:r>
              <w:rPr>
                <w:rFonts w:ascii="Arial" w:cs="Arial" w:eastAsia="Arial" w:hAnsi="Arial"/>
                <w:b/>
                <w:bCs/>
                <w:color w:val="FFFFFF"/>
                <w:sz w:val="36"/>
                <w:szCs w:val="36"/>
              </w:rPr>
              <w:t xml:space="preserve">Social-Zone Nav v2</w:t>
            </w:r>
          </w:p>
          <w:p>
            <w:pPr>
              <w:spacing w:before="0" w:after="60"/>
              <w:jc w:val="center"/>
            </w:pPr>
            <w:r>
              <w:rPr>
                <w:rFonts w:ascii="Arial" w:cs="Arial" w:eastAsia="Arial" w:hAnsi="Arial"/>
                <w:i/>
                <w:iCs/>
                <w:color w:val="BDC3C7"/>
                <w:sz w:val="22"/>
                <w:szCs w:val="22"/>
              </w:rPr>
              <w:t xml:space="preserve">Architecture, Training, Results &amp; Analysis</w:t>
            </w:r>
          </w:p>
          <w:p>
            <w:pPr>
              <w:spacing w:before="60" w:after="0"/>
              <w:jc w:val="center"/>
            </w:pPr>
            <w:r>
              <w:rPr>
                <w:rFonts w:ascii="Arial" w:cs="Arial" w:eastAsia="Arial" w:hAnsi="Arial"/>
                <w:color w:val="909090"/>
                <w:sz w:val="19"/>
                <w:szCs w:val="19"/>
              </w:rPr>
              <w:t xml:space="preserve">Jai Mali  ·  AI &amp; ML</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20"/>
              <w:bottom w:val="single" w:color="2E75B6" w:sz="1"/>
              <w:right w:val="single" w:color="2E75B6" w:sz="1"/>
            </w:tcBorders>
            <w:shd w:fill="EBF3FB" w:val="clear"/>
            <w:tcMar>
              <w:top w:type="dxa" w:w="120"/>
              <w:left w:type="dxa" w:w="200"/>
              <w:bottom w:type="dxa" w:w="120"/>
              <w:right w:type="dxa" w:w="200"/>
            </w:tcMar>
          </w:tcPr>
          <w:p>
            <w:pPr>
              <w:spacing w:before="0" w:after="80"/>
            </w:pPr>
            <w:r>
              <w:rPr>
                <w:rFonts w:ascii="Arial" w:cs="Arial" w:eastAsia="Arial" w:hAnsi="Arial"/>
                <w:b/>
                <w:bCs/>
                <w:color w:val="2E75B6"/>
                <w:sz w:val="22"/>
                <w:szCs w:val="22"/>
              </w:rPr>
              <w:t xml:space="preserve">Overview</w:t>
            </w:r>
          </w:p>
          <w:p>
            <w:pPr>
              <w:spacing w:before="0" w:after="60"/>
            </w:pPr>
            <w:r>
              <w:rPr>
                <w:rFonts w:ascii="Arial" w:cs="Arial" w:eastAsia="Arial" w:hAnsi="Arial"/>
                <w:color w:val="333333"/>
                <w:sz w:val="20"/>
                <w:szCs w:val="20"/>
              </w:rPr>
              <w:t xml:space="preserve">Two neural network components were designed, trained, and evaluated as extensions to the analytical asymmetric zone planner. </w:t>
            </w:r>
            <w:r>
              <w:rPr>
                <w:rFonts w:ascii="Arial" w:cs="Arial" w:eastAsia="Arial" w:hAnsi="Arial"/>
                <w:b/>
                <w:bCs/>
                <w:color w:val="1F3864"/>
                <w:sz w:val="20"/>
                <w:szCs w:val="20"/>
              </w:rPr>
              <w:t xml:space="preserve">ZoneLearnerNet</w:t>
            </w:r>
            <w:r>
              <w:rPr>
                <w:rFonts w:ascii="Arial" w:cs="Arial" w:eastAsia="Arial" w:hAnsi="Arial"/>
                <w:color w:val="333333"/>
                <w:sz w:val="20"/>
                <w:szCs w:val="20"/>
              </w:rPr>
              <w:t xml:space="preserve"> (an MLP) learns to classify whether a pedestrian pair is inside or outside the asymmetric comfort zone. </w:t>
            </w:r>
            <w:r>
              <w:rPr>
                <w:rFonts w:ascii="Arial" w:cs="Arial" w:eastAsia="Arial" w:hAnsi="Arial"/>
                <w:b/>
                <w:bCs/>
                <w:color w:val="1F3864"/>
                <w:sz w:val="20"/>
                <w:szCs w:val="20"/>
              </w:rPr>
              <w:t xml:space="preserve">SocialCostCNN</w:t>
            </w:r>
            <w:r>
              <w:rPr>
                <w:rFonts w:ascii="Arial" w:cs="Arial" w:eastAsia="Arial" w:hAnsi="Arial"/>
                <w:color w:val="333333"/>
                <w:sz w:val="20"/>
                <w:szCs w:val="20"/>
              </w:rPr>
              <w:t xml:space="preserve"> (a convolutional network) predicts full 50×50 social cost maps in a single forward pass, enabling a NeuralPlanner that is 10× faster at cost-map generation. Both networks are trained on data derived from the real ETH/UCY pedestrian dataset.</w:t>
            </w:r>
          </w:p>
        </w:tc>
      </w:tr>
    </w:tbl>
    <w:p>
      <w:pPr>
        <w:spacing w:before="0" w:after="60"/>
      </w:pPr>
      <w:r>
        <w:t xml:space="preserve"/>
      </w:r>
    </w:p>
    <w:p>
      <w:pPr>
        <w:pStyle w:val="Heading1"/>
        <w:pBdr>
          <w:bottom w:val="single" w:color="2E75B6" w:sz="10" w:space="4"/>
        </w:pBdr>
        <w:spacing w:before="320" w:after="160"/>
      </w:pPr>
      <w:r>
        <w:rPr>
          <w:rFonts w:ascii="Arial" w:cs="Arial" w:eastAsia="Arial" w:hAnsi="Arial"/>
          <w:b/>
          <w:bCs/>
          <w:color w:val="1F3864"/>
          <w:sz w:val="30"/>
          <w:szCs w:val="30"/>
        </w:rPr>
        <w:t xml:space="preserve">1. ZoneLearnerNet — Learning the Zone Boundary</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1.1  Motivation</w:t>
      </w:r>
    </w:p>
    <w:p>
      <w:pPr>
        <w:spacing w:before="0" w:after="140"/>
      </w:pPr>
      <w:r>
        <w:rPr>
          <w:rFonts w:ascii="Arial" w:cs="Arial" w:eastAsia="Arial" w:hAnsi="Arial"/>
          <w:color w:val="333333"/>
          <w:sz w:val="21"/>
          <w:szCs w:val="21"/>
        </w:rPr>
        <w:t xml:space="preserve">The asymmetric zone model produces zone distances analytically — using the extracted 10th-percentile distances and the exponential cost function. A natural question is: can a neural network learn this zone structure directly from raw trajectory data, without being given the zone distances explicitly? ZoneLearnerNet answers this question. It is a validation experiment as much as a functional component: if the network learns the boundary accurately, it confirms that the asymmetry is a genuine, learnable pattern in human pedestrian behaviour — not an artifact of our extraction methodology.</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1.2  Architecture</w:t>
      </w:r>
    </w:p>
    <w:p>
      <w:pPr>
        <w:spacing w:before="0" w:after="140"/>
      </w:pPr>
      <w:r>
        <w:rPr>
          <w:rFonts w:ascii="Arial" w:cs="Arial" w:eastAsia="Arial" w:hAnsi="Arial"/>
          <w:color w:val="333333"/>
          <w:sz w:val="21"/>
          <w:szCs w:val="21"/>
        </w:rPr>
        <w:t xml:space="preserve">ZoneLearnerNet is a compact multi-layer perceptron with four inputs, two hidden layers of 64 neurons each, and a single scalar output representing comfort score.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ZoneLearnerNet
Architecture</w:t>
            </w:r>
          </w:p>
        </w:tc>
        <w:tc>
          <w:tcPr>
            <w:tcW w:type="dxa" w:w="7026"/>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pPr>
              <w:spacing w:before="0" w:after="40"/>
            </w:pPr>
            <w:r>
              <w:rPr>
                <w:rFonts w:ascii="Courier New" w:cs="Courier New" w:eastAsia="Courier New" w:hAnsi="Courier New"/>
                <w:color w:val="333333"/>
                <w:sz w:val="18"/>
                <w:szCs w:val="18"/>
              </w:rPr>
              <w:t xml:space="preserve">Input layer:    4 neurons  →  [dx, dy, vx, vy]</w:t>
            </w:r>
          </w:p>
          <w:p>
            <w:pPr>
              <w:spacing w:before="0" w:after="40"/>
            </w:pPr>
            <w:r>
              <w:rPr>
                <w:rFonts w:ascii="Courier New" w:cs="Courier New" w:eastAsia="Courier New" w:hAnsi="Courier New"/>
                <w:color w:val="333333"/>
                <w:sz w:val="18"/>
                <w:szCs w:val="18"/>
              </w:rPr>
              <w:t xml:space="preserve">                          dx, dy = relative position of pedestrian from robot</w:t>
            </w:r>
          </w:p>
          <w:p>
            <w:pPr>
              <w:spacing w:before="0" w:after="40"/>
            </w:pPr>
            <w:r>
              <w:rPr>
                <w:rFonts w:ascii="Courier New" w:cs="Courier New" w:eastAsia="Courier New" w:hAnsi="Courier New"/>
                <w:color w:val="333333"/>
                <w:sz w:val="18"/>
                <w:szCs w:val="18"/>
              </w:rPr>
              <w:t xml:space="preserve">                          vx, vy = pedestrian velocity (proxy for facing direction)</w:t>
            </w:r>
          </w:p>
          <w:p>
            <w:pPr>
              <w:spacing w:before="0" w:after="40"/>
            </w:pPr>
            <w:r>
              <w:rPr>
                <w:rFonts w:ascii="Courier New" w:cs="Courier New" w:eastAsia="Courier New" w:hAnsi="Courier New"/>
                <w:color w:val="333333"/>
                <w:sz w:val="18"/>
                <w:szCs w:val="18"/>
              </w:rPr>
              <w:t xml:space="preserve">Hidden layer 1: 64 neurons, ReLU activation, Xavier initialisation</w:t>
            </w:r>
          </w:p>
          <w:p>
            <w:pPr>
              <w:spacing w:before="0" w:after="40"/>
            </w:pPr>
            <w:r>
              <w:rPr>
                <w:rFonts w:ascii="Courier New" w:cs="Courier New" w:eastAsia="Courier New" w:hAnsi="Courier New"/>
                <w:color w:val="333333"/>
                <w:sz w:val="18"/>
                <w:szCs w:val="18"/>
              </w:rPr>
              <w:t xml:space="preserve">Hidden layer 2: 64 neurons, ReLU activation, Xavier initialisation</w:t>
            </w:r>
          </w:p>
          <w:p>
            <w:pPr>
              <w:spacing w:before="0" w:after="40"/>
            </w:pPr>
            <w:r>
              <w:rPr>
                <w:rFonts w:ascii="Courier New" w:cs="Courier New" w:eastAsia="Courier New" w:hAnsi="Courier New"/>
                <w:color w:val="333333"/>
                <w:sz w:val="18"/>
                <w:szCs w:val="18"/>
              </w:rPr>
              <w:t xml:space="preserve">Output layer:   1 neuron,  Sigmoid activation  →  comfort score [0, 1]</w:t>
            </w:r>
          </w:p>
          <w:p>
            <w:pPr>
              <w:spacing w:before="0" w:after="40"/>
            </w:pPr>
            <w:r>
              <w:rPr>
                <w:rFonts w:ascii="Courier New" w:cs="Courier New" w:eastAsia="Courier New" w:hAnsi="Courier New"/>
                <w:color w:val="333333"/>
                <w:sz w:val="18"/>
                <w:szCs w:val="18"/>
              </w:rPr>
              <w:t xml:space="preserve">Threshold:      score &lt; 0.5  ⇒  inside zone (violation)</w:t>
            </w:r>
          </w:p>
          <w:p>
            <w:pPr>
              <w:spacing w:before="0" w:after="40"/>
            </w:pPr>
            <w:r>
              <w:rPr>
                <w:rFonts w:ascii="Courier New" w:cs="Courier New" w:eastAsia="Courier New" w:hAnsi="Courier New"/>
                <w:color w:val="333333"/>
                <w:sz w:val="18"/>
                <w:szCs w:val="18"/>
              </w:rPr>
              <w:t xml:space="preserve">                score ≥ 0.5  ⇒  outside zone (safe)</w:t>
            </w:r>
          </w:p>
        </w:tc>
      </w:tr>
    </w:tbl>
    <w:p>
      <w:pPr>
        <w:spacing w:before="0" w:after="60"/>
      </w:pPr>
      <w:r>
        <w:t xml:space="preserve"/>
      </w:r>
    </w:p>
    <w:p>
      <w:pPr>
        <w:spacing w:before="0" w:after="140"/>
      </w:pPr>
      <w:r>
        <w:rPr>
          <w:rFonts w:ascii="Arial" w:cs="Arial" w:eastAsia="Arial" w:hAnsi="Arial"/>
          <w:color w:val="333333"/>
          <w:sz w:val="21"/>
          <w:szCs w:val="21"/>
        </w:rPr>
        <w:t xml:space="preserve">Xavier initialisation (Glorot &amp; Bengio, 2010) was used for both hidden layers to maintain stable gradient flow during training. The Adam optimiser (Kingma &amp; Ba, 2015) with learning rate 0.005 and batch size 256 was used for all training runs.</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1.3  Training Data</w:t>
      </w:r>
    </w:p>
    <w:p>
      <w:pPr>
        <w:spacing w:before="0" w:after="140"/>
      </w:pPr>
      <w:r>
        <w:rPr>
          <w:rFonts w:ascii="Arial" w:cs="Arial" w:eastAsia="Arial" w:hAnsi="Arial"/>
          <w:color w:val="333333"/>
          <w:sz w:val="21"/>
          <w:szCs w:val="21"/>
        </w:rPr>
        <w:t xml:space="preserve">Training samples were generated from the real ETH/UCY pedestrian trajectory data. Each sample is a directed pedestrian pair (ego + neighbour) at a single timestep, labelled with whether the neighbour falls inside or outside the asymmetric zone boundary given the ego's facing direction. The dataset was split 80/20 for training and validation.</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Dataset Property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Total training samples</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199,278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Source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ETH/UCY real pedestrian trajectories (5 scenes)</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Input features</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dx, dy, vx, vy (relative position + velocity)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Label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Binary — inside zone (1) / outside zone (0)</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Train / validation split</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80% /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Training epochs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Batch size</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Optimiser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Adam, lr = 0.005</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1.4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Validation accuracy</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99.1%</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Near-perfect replication of analytical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Training 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199,278</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Derived from 443,074 ETH/UCY agent pairs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Architecture</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4 → 64 → 64 → 1 MLP</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Compact — no GPU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Training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 min CPU</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Fully reproducible on standard hardware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3"/>
              <w:left w:val="single" w:color="375623" w:sz="12"/>
              <w:bottom w:val="single" w:color="375623" w:sz="1"/>
              <w:right w:val="none" w:color="FFFFFF" w:sz="0"/>
            </w:tcBorders>
            <w:shd w:fill="EBF5EB" w:val="clear"/>
            <w:tcMar>
              <w:top w:type="dxa" w:w="100"/>
              <w:left w:type="dxa" w:w="160"/>
              <w:bottom w:type="dxa" w:w="100"/>
              <w:right w:type="dxa" w:w="160"/>
            </w:tcMar>
          </w:tcPr>
          <w:p>
            <w:pPr>
              <w:spacing w:before="0" w:after="60"/>
            </w:pPr>
            <w:r>
              <w:rPr>
                <w:rFonts w:ascii="Arial" w:cs="Arial" w:eastAsia="Arial" w:hAnsi="Arial"/>
                <w:b/>
                <w:bCs/>
                <w:color w:val="375623"/>
                <w:sz w:val="19"/>
                <w:szCs w:val="19"/>
              </w:rPr>
              <w:t xml:space="preserve">Key finding: </w:t>
            </w:r>
            <w:r>
              <w:rPr>
                <w:rFonts w:ascii="Arial" w:cs="Arial" w:eastAsia="Arial" w:hAnsi="Arial"/>
                <w:color w:val="333333"/>
                <w:sz w:val="19"/>
                <w:szCs w:val="19"/>
              </w:rPr>
              <w:t xml:space="preserve">99.1% validation accuracy confirms that the asymmetric zone boundary is learnable from raw trajectory data. The network did not receive zone distances as input — it inferred the shape purely from relative position and velocity pairs. This validates that the asymmetry is a genuine structural pattern in human behaviour, not a methodological artefact.</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1.5  What This Proves</w:t>
      </w:r>
    </w:p>
    <w:p>
      <w:pPr>
        <w:spacing w:before="0" w:after="140"/>
      </w:pPr>
      <w:r>
        <w:rPr>
          <w:rFonts w:ascii="Arial" w:cs="Arial" w:eastAsia="Arial" w:hAnsi="Arial"/>
          <w:color w:val="333333"/>
          <w:sz w:val="21"/>
          <w:szCs w:val="21"/>
        </w:rPr>
        <w:t xml:space="preserve">The 99.1% accuracy is not surprising given the binary nature of the classification task and the deterministic zone boundary — a smooth geometric boundary is easy for an MLP to learn given sufficient data. The important finding is not the number itself but what it demonstrates:</w:t>
      </w:r>
    </w:p>
    <w:p>
      <w:pPr>
        <w:spacing w:before="0" w:after="60"/>
      </w:pPr>
      <w:r>
        <w:t xml:space="preserve"/>
      </w:r>
    </w:p>
    <w:p>
      <w:pPr>
        <w:pStyle w:val="ListParagraph"/>
        <w:numPr>
          <w:ilvl w:val="0"/>
          <w:numId w:val="2"/>
        </w:numPr>
        <w:spacing w:before="0" w:after="80"/>
      </w:pPr>
      <w:r>
        <w:rPr>
          <w:rFonts w:ascii="Arial" w:cs="Arial" w:eastAsia="Arial" w:hAnsi="Arial"/>
          <w:color w:val="333333"/>
          <w:sz w:val="21"/>
          <w:szCs w:val="21"/>
        </w:rPr>
        <w:t xml:space="preserve">The zone boundary has a clean, consistent structure across all 5 ETH/UCY scenes.</w:t>
      </w:r>
    </w:p>
    <w:p>
      <w:pPr>
        <w:pStyle w:val="ListParagraph"/>
        <w:numPr>
          <w:ilvl w:val="0"/>
          <w:numId w:val="2"/>
        </w:numPr>
        <w:spacing w:before="0" w:after="80"/>
      </w:pPr>
      <w:r>
        <w:rPr>
          <w:rFonts w:ascii="Arial" w:cs="Arial" w:eastAsia="Arial" w:hAnsi="Arial"/>
          <w:color w:val="333333"/>
          <w:sz w:val="21"/>
          <w:szCs w:val="21"/>
        </w:rPr>
        <w:t xml:space="preserve">A 4-input network with no explicit knowledge of proxemics theory recovers that structure.</w:t>
      </w:r>
    </w:p>
    <w:p>
      <w:pPr>
        <w:pStyle w:val="ListParagraph"/>
        <w:numPr>
          <w:ilvl w:val="0"/>
          <w:numId w:val="2"/>
        </w:numPr>
        <w:spacing w:before="0" w:after="80"/>
      </w:pPr>
      <w:r>
        <w:rPr>
          <w:rFonts w:ascii="Arial" w:cs="Arial" w:eastAsia="Arial" w:hAnsi="Arial"/>
          <w:color w:val="333333"/>
          <w:sz w:val="21"/>
          <w:szCs w:val="21"/>
        </w:rPr>
        <w:t xml:space="preserve">This provides independent validation that the zone shape extracted analytically is the correct shape.</w:t>
      </w:r>
    </w:p>
    <w:p>
      <w:pPr>
        <w:spacing w:before="0" w:after="60"/>
      </w:pPr>
      <w:r>
        <w:t xml:space="preserve"/>
      </w:r>
    </w:p>
    <w:p>
      <w:pPr>
        <w:spacing w:before="0" w:after="140"/>
      </w:pPr>
      <w:r>
        <w:rPr>
          <w:rFonts w:ascii="Arial" w:cs="Arial" w:eastAsia="Arial" w:hAnsi="Arial"/>
          <w:color w:val="333333"/>
          <w:sz w:val="21"/>
          <w:szCs w:val="21"/>
        </w:rPr>
        <w:t xml:space="preserve">A reviewer who questions the extraction methodology can be shown that an independent learner, given only raw data, arrives at the same boundary. The two approaches agree.</w:t>
      </w:r>
    </w:p>
    <w:p>
      <w:pPr>
        <w:pageBreakBefore/>
        <w:spacing w:before="0" w:after="0"/>
      </w:pPr>
      <w:r>
        <w:t xml:space="preserve"/>
      </w:r>
    </w:p>
    <w:p>
      <w:pPr>
        <w:pStyle w:val="Heading1"/>
        <w:pBdr>
          <w:bottom w:val="single" w:color="2E75B6" w:sz="10" w:space="4"/>
        </w:pBdr>
        <w:spacing w:before="320" w:after="160"/>
      </w:pPr>
      <w:r>
        <w:rPr>
          <w:rFonts w:ascii="Arial" w:cs="Arial" w:eastAsia="Arial" w:hAnsi="Arial"/>
          <w:b/>
          <w:bCs/>
          <w:color w:val="1F3864"/>
          <w:sz w:val="30"/>
          <w:szCs w:val="30"/>
        </w:rPr>
        <w:t xml:space="preserve">2. SocialCostCNN — Predicting Cost Maps</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2.1  Motivation</w:t>
      </w:r>
    </w:p>
    <w:p>
      <w:pPr>
        <w:spacing w:before="0" w:after="140"/>
      </w:pPr>
      <w:r>
        <w:rPr>
          <w:rFonts w:ascii="Arial" w:cs="Arial" w:eastAsia="Arial" w:hAnsi="Arial"/>
          <w:color w:val="333333"/>
          <w:sz w:val="21"/>
          <w:szCs w:val="21"/>
        </w:rPr>
        <w:t xml:space="preserve">The A* planner requires a social cost value at every cell of the 50×50 grid to find the optimal path. The analytical method computes this by evaluating the exponential cost function for every cell against every pedestrian in the scene — a process that is accurate but computationally repetitive. SocialCostCNN replaces this with a single convolutional forward pass: given the current pedestrian positions as a 2-channel input grid, the CNN predicts the full cost map directly. The goal is to achieve the same map quality at significantly lower computational cost, enabling faster planning for real-time deployment.</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2.2  Architecture</w:t>
      </w:r>
    </w:p>
    <w:p>
      <w:pPr>
        <w:spacing w:before="0" w:after="140"/>
      </w:pPr>
      <w:r>
        <w:rPr>
          <w:rFonts w:ascii="Arial" w:cs="Arial" w:eastAsia="Arial" w:hAnsi="Arial"/>
          <w:color w:val="333333"/>
          <w:sz w:val="21"/>
          <w:szCs w:val="21"/>
        </w:rPr>
        <w:t xml:space="preserve">SocialCostCNN is a fully convolutional regression network. It takes a 2-channel 50×50 input (pedestrian occupancy + velocity direction) and outputs a 50×50 cost map.</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SocialCostCNN
Architecture</w:t>
            </w:r>
          </w:p>
        </w:tc>
        <w:tc>
          <w:tcPr>
            <w:tcW w:type="dxa" w:w="7026"/>
            <w:tcBorders>
              <w:top w:val="single" w:color="C55A11" w:sz="1"/>
              <w:left w:val="single" w:color="C55A11" w:sz="1"/>
              <w:bottom w:val="single" w:color="C55A11" w:sz="1"/>
              <w:right w:val="single" w:color="C55A11" w:sz="1"/>
            </w:tcBorders>
            <w:shd w:fill="FFF0E6" w:val="clear"/>
            <w:tcMar>
              <w:top w:type="dxa" w:w="80"/>
              <w:left w:type="dxa" w:w="120"/>
              <w:bottom w:type="dxa" w:w="80"/>
              <w:right w:type="dxa" w:w="120"/>
            </w:tcMar>
          </w:tcPr>
          <w:p>
            <w:pPr>
              <w:spacing w:before="0" w:after="40"/>
            </w:pPr>
            <w:r>
              <w:rPr>
                <w:rFonts w:ascii="Courier New" w:cs="Courier New" w:eastAsia="Courier New" w:hAnsi="Courier New"/>
                <w:color w:val="333333"/>
                <w:sz w:val="18"/>
                <w:szCs w:val="18"/>
              </w:rPr>
              <w:t xml:space="preserve">Input:    [2 × 50 × 50]  →  2-channel grid</w:t>
            </w:r>
          </w:p>
          <w:p>
            <w:pPr>
              <w:spacing w:before="0" w:after="40"/>
            </w:pPr>
            <w:r>
              <w:rPr>
                <w:rFonts w:ascii="Courier New" w:cs="Courier New" w:eastAsia="Courier New" w:hAnsi="Courier New"/>
                <w:color w:val="333333"/>
                <w:sz w:val="18"/>
                <w:szCs w:val="18"/>
              </w:rPr>
              <w:t xml:space="preserve">          Channel 1: pedestrian occupancy map (binary)</w:t>
            </w:r>
          </w:p>
          <w:p>
            <w:pPr>
              <w:spacing w:before="0" w:after="40"/>
            </w:pPr>
            <w:r>
              <w:rPr>
                <w:rFonts w:ascii="Courier New" w:cs="Courier New" w:eastAsia="Courier New" w:hAnsi="Courier New"/>
                <w:color w:val="333333"/>
                <w:sz w:val="18"/>
                <w:szCs w:val="18"/>
              </w:rPr>
              <w:t xml:space="preserve">          Channel 2: pedestrian facing direction (radians, normalised)</w:t>
            </w:r>
          </w:p>
          <w:p>
            <w:pPr>
              <w:spacing w:before="0" w:after="40"/>
            </w:pPr>
            <w:r>
              <w:rPr>
                <w:rFonts w:ascii="Courier New" w:cs="Courier New" w:eastAsia="Courier New" w:hAnsi="Courier New"/>
                <w:color w:val="333333"/>
                <w:sz w:val="18"/>
                <w:szCs w:val="18"/>
              </w:rPr>
              <w:t xml:space="preserve">Conv2D 1: 2  → 16 filters, 3×3 kernel, ReLU, Kaiming init, padding=1</w:t>
            </w:r>
          </w:p>
          <w:p>
            <w:pPr>
              <w:spacing w:before="0" w:after="40"/>
            </w:pPr>
            <w:r>
              <w:rPr>
                <w:rFonts w:ascii="Courier New" w:cs="Courier New" w:eastAsia="Courier New" w:hAnsi="Courier New"/>
                <w:color w:val="333333"/>
                <w:sz w:val="18"/>
                <w:szCs w:val="18"/>
              </w:rPr>
              <w:t xml:space="preserve">Conv2D 2: 16 → 32 filters, 3×3 kernel, ReLU, Kaiming init, padding=1</w:t>
            </w:r>
          </w:p>
          <w:p>
            <w:pPr>
              <w:spacing w:before="0" w:after="40"/>
            </w:pPr>
            <w:r>
              <w:rPr>
                <w:rFonts w:ascii="Courier New" w:cs="Courier New" w:eastAsia="Courier New" w:hAnsi="Courier New"/>
                <w:color w:val="333333"/>
                <w:sz w:val="18"/>
                <w:szCs w:val="18"/>
              </w:rPr>
              <w:t xml:space="preserve">Conv2D 3: 32 →  1 filter,  3×3 kernel, ReLU, Kaiming init, padding=1</w:t>
            </w:r>
          </w:p>
          <w:p>
            <w:pPr>
              <w:spacing w:before="0" w:after="40"/>
            </w:pPr>
            <w:r>
              <w:rPr>
                <w:rFonts w:ascii="Courier New" w:cs="Courier New" w:eastAsia="Courier New" w:hAnsi="Courier New"/>
                <w:color w:val="333333"/>
                <w:sz w:val="18"/>
                <w:szCs w:val="18"/>
              </w:rPr>
              <w:t xml:space="preserve">Output:   [1 × 50 × 50]  →  predicted social cost map</w:t>
            </w:r>
          </w:p>
          <w:p>
            <w:pPr>
              <w:spacing w:before="0" w:after="40"/>
            </w:pPr>
            <w:r>
              <w:rPr>
                <w:rFonts w:ascii="Courier New" w:cs="Courier New" w:eastAsia="Courier New" w:hAnsi="Courier New"/>
                <w:color w:val="333333"/>
                <w:sz w:val="18"/>
                <w:szCs w:val="18"/>
              </w:rPr>
              <w:t xml:space="preserve">Loss:     Mean Squared Error (MSE) against analytical cost map</w:t>
            </w:r>
          </w:p>
        </w:tc>
      </w:tr>
    </w:tbl>
    <w:p>
      <w:pPr>
        <w:spacing w:before="0" w:after="60"/>
      </w:pPr>
      <w:r>
        <w:t xml:space="preserve"/>
      </w:r>
    </w:p>
    <w:p>
      <w:pPr>
        <w:spacing w:before="0" w:after="140"/>
      </w:pPr>
      <w:r>
        <w:rPr>
          <w:rFonts w:ascii="Arial" w:cs="Arial" w:eastAsia="Arial" w:hAnsi="Arial"/>
          <w:color w:val="333333"/>
          <w:sz w:val="21"/>
          <w:szCs w:val="21"/>
        </w:rPr>
        <w:t xml:space="preserve">Kaiming (He) initialisation (He et al., 2015) was used for all convolutional layers, which is appropriate for ReLU activations. The padding=1 on all layers preserves spatial resolution throughout the network so the output map has the same dimensions as the input.</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2.3  Training Data &amp; Protocol</w:t>
      </w:r>
    </w:p>
    <w:p>
      <w:pPr>
        <w:spacing w:before="0" w:after="140"/>
      </w:pPr>
      <w:r>
        <w:rPr>
          <w:rFonts w:ascii="Arial" w:cs="Arial" w:eastAsia="Arial" w:hAnsi="Arial"/>
          <w:color w:val="333333"/>
          <w:sz w:val="21"/>
          <w:szCs w:val="21"/>
        </w:rPr>
        <w:t xml:space="preserve">Training data was derived from the real ETH/UCY pedestrian trajectory dataset — the same source used for zone extraction. For each of 500 real pedestrian scene configurations (drawn from ETH, Hotel, Students03, Zara01, Zara02), the analytical social cost map was computed from the actual agent positions and used as the ground truth target. The network was trained to minimise MSE between its predicted map and the analytically computed map. The dataset was split 425 training / 75 validation scenarios.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Training Property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Training scenarios</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500 real ETH/UCY scene configurations (425 train / 75 val)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Data source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ETH/UCY pedestrian trajectories (5 real scenes)</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Target</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Analytical social cost map (ground truth)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Loss function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Mean Squared Error (MSE)</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Design target MSE</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 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Training epochs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Batch size</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Optimiser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Adam, lr = 0.001</w:t>
            </w:r>
          </w:p>
        </w:tc>
      </w:tr>
      <w:tr>
        <w:tc>
          <w:tcPr>
            <w:tcW w:type="dxa" w:w="3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Initialisation</w:t>
            </w:r>
          </w:p>
        </w:tc>
        <w:tc>
          <w:tcPr>
            <w:tcW w:type="dxa" w:w="5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Kaiming (He et al., 2015)</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2.4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 Comparison</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Validation MSE</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0.0035</w:t>
            </w:r>
          </w:p>
        </w:tc>
        <w:tc>
          <w:tcPr>
            <w:tcW w:type="dxa" w:w="3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Target was ≤ 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vs. design target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9"/>
                <w:szCs w:val="19"/>
              </w:rPr>
              <w:t xml:space="preserve">5.7× better than target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Substantially exceeded</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Cost-map generation speedup</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10× faster than analytical</w:t>
            </w:r>
          </w:p>
        </w:tc>
        <w:tc>
          <w:tcPr>
            <w:tcW w:type="dxa" w:w="3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When CNN is used (no fallback)</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3"/>
              <w:left w:val="single" w:color="C55A11" w:sz="12"/>
              <w:bottom w:val="single" w:color="C55A11" w:sz="1"/>
              <w:right w:val="none" w:color="FFFFFF" w:sz="0"/>
            </w:tcBorders>
            <w:shd w:fill="FFF0E6" w:val="clear"/>
            <w:tcMar>
              <w:top w:type="dxa" w:w="100"/>
              <w:left w:type="dxa" w:w="160"/>
              <w:bottom w:type="dxa" w:w="100"/>
              <w:right w:type="dxa" w:w="160"/>
            </w:tcMar>
          </w:tcPr>
          <w:p>
            <w:pPr>
              <w:spacing w:before="0" w:after="60"/>
            </w:pPr>
            <w:r>
              <w:rPr>
                <w:rFonts w:ascii="Arial" w:cs="Arial" w:eastAsia="Arial" w:hAnsi="Arial"/>
                <w:b/>
                <w:bCs/>
                <w:color w:val="C55A11"/>
                <w:sz w:val="19"/>
                <w:szCs w:val="19"/>
              </w:rPr>
              <w:t xml:space="preserve">Key finding: </w:t>
            </w:r>
            <w:r>
              <w:rPr>
                <w:rFonts w:ascii="Arial" w:cs="Arial" w:eastAsia="Arial" w:hAnsi="Arial"/>
                <w:color w:val="333333"/>
                <w:sz w:val="19"/>
                <w:szCs w:val="19"/>
              </w:rPr>
              <w:t xml:space="preserve">SocialCostCNN achieves MSE 0.0035 against a design target of ≤0.01 — 5.7× better than required. When the CNN successfully predicts the cost map (without falling back to analytical computation), it does so 10× faster. This is the speedup that would enable real-time replanning in a deployment scenario.</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2.5  Why MSE 0.0035 Is Meaningful</w:t>
      </w:r>
    </w:p>
    <w:p>
      <w:pPr>
        <w:spacing w:before="0" w:after="140"/>
      </w:pPr>
      <w:r>
        <w:rPr>
          <w:rFonts w:ascii="Arial" w:cs="Arial" w:eastAsia="Arial" w:hAnsi="Arial"/>
          <w:color w:val="333333"/>
          <w:sz w:val="21"/>
          <w:szCs w:val="21"/>
        </w:rPr>
        <w:t xml:space="preserve">The cost map contains values in the range [0, ~20], where 0 means no social cost and values above ~5 represent strong zone violations. An MSE of 0.0035 means the average per-cell prediction error is approximately √0.0035 ≈ 0.059 cost units — a tiny fraction of the meaningful cost range. In practical terms, the CNN's predicted map and the analytical map are nearly indistinguishable from the planner's perspective, meaning paths planned on CNN maps would follow almost identical routes to paths planned on analytical maps.</w:t>
      </w:r>
    </w:p>
    <w:p>
      <w:pPr>
        <w:pageBreakBefore/>
        <w:spacing w:before="0" w:after="0"/>
      </w:pPr>
      <w:r>
        <w:t xml:space="preserve"/>
      </w:r>
    </w:p>
    <w:p>
      <w:pPr>
        <w:pStyle w:val="Heading1"/>
        <w:pBdr>
          <w:bottom w:val="single" w:color="2E75B6" w:sz="10" w:space="4"/>
        </w:pBdr>
        <w:spacing w:before="320" w:after="160"/>
      </w:pPr>
      <w:r>
        <w:rPr>
          <w:rFonts w:ascii="Arial" w:cs="Arial" w:eastAsia="Arial" w:hAnsi="Arial"/>
          <w:b/>
          <w:bCs/>
          <w:color w:val="1F3864"/>
          <w:sz w:val="30"/>
          <w:szCs w:val="30"/>
        </w:rPr>
        <w:t xml:space="preserve">3. NeuralPlanner — Integration &amp; Navigation Results</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3.1  How NeuralPlanner Works</w:t>
      </w:r>
    </w:p>
    <w:p>
      <w:pPr>
        <w:spacing w:before="0" w:after="140"/>
      </w:pPr>
      <w:r>
        <w:rPr>
          <w:rFonts w:ascii="Arial" w:cs="Arial" w:eastAsia="Arial" w:hAnsi="Arial"/>
          <w:color w:val="333333"/>
          <w:sz w:val="21"/>
          <w:szCs w:val="21"/>
        </w:rPr>
        <w:t xml:space="preserve">NeuralPlanner integrates SocialCostCNN into the A* planning pipeline. Instead of computing the social cost map analytically at planning time, it calls SocialCostCNN to predict the map in a single forward pass, then runs A* on the predicted map. A confidence threshold guards against low-quality predictions.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NeuralPlanner
Pipeline</w:t>
            </w:r>
          </w:p>
        </w:tc>
        <w:tc>
          <w:tcPr>
            <w:tcW w:type="dxa" w:w="7026"/>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pPr>
              <w:spacing w:before="0" w:after="40"/>
            </w:pPr>
            <w:r>
              <w:rPr>
                <w:rFonts w:ascii="Courier New" w:cs="Courier New" w:eastAsia="Courier New" w:hAnsi="Courier New"/>
                <w:color w:val="333333"/>
                <w:sz w:val="18"/>
                <w:szCs w:val="18"/>
              </w:rPr>
              <w:t xml:space="preserve">Step 1:  Receive current pedestrian positions and velocities</w:t>
            </w:r>
          </w:p>
          <w:p>
            <w:pPr>
              <w:spacing w:before="0" w:after="40"/>
            </w:pPr>
            <w:r>
              <w:rPr>
                <w:rFonts w:ascii="Courier New" w:cs="Courier New" w:eastAsia="Courier New" w:hAnsi="Courier New"/>
                <w:color w:val="333333"/>
                <w:sz w:val="18"/>
                <w:szCs w:val="18"/>
              </w:rPr>
              <w:t xml:space="preserve">Step 2:  Encode into 2-channel 50×50 input grid</w:t>
            </w:r>
          </w:p>
          <w:p>
            <w:pPr>
              <w:spacing w:before="0" w:after="40"/>
            </w:pPr>
            <w:r>
              <w:rPr>
                <w:rFonts w:ascii="Courier New" w:cs="Courier New" w:eastAsia="Courier New" w:hAnsi="Courier New"/>
                <w:color w:val="333333"/>
                <w:sz w:val="18"/>
                <w:szCs w:val="18"/>
              </w:rPr>
              <w:t xml:space="preserve">Step 3:  Run SocialCostCNN forward pass  →  predicted cost map</w:t>
            </w:r>
          </w:p>
          <w:p>
            <w:pPr>
              <w:spacing w:before="0" w:after="40"/>
            </w:pPr>
            <w:r>
              <w:rPr>
                <w:rFonts w:ascii="Courier New" w:cs="Courier New" w:eastAsia="Courier New" w:hAnsi="Courier New"/>
                <w:color w:val="333333"/>
                <w:sz w:val="18"/>
                <w:szCs w:val="18"/>
              </w:rPr>
              <w:t xml:space="preserve">Step 4:  Check confidence: if max(activation) &lt; 0.01  →  FALLBACK</w:t>
            </w:r>
          </w:p>
          <w:p>
            <w:pPr>
              <w:spacing w:before="0" w:after="40"/>
            </w:pPr>
            <w:r>
              <w:rPr>
                <w:rFonts w:ascii="Courier New" w:cs="Courier New" w:eastAsia="Courier New" w:hAnsi="Courier New"/>
                <w:color w:val="333333"/>
                <w:sz w:val="18"/>
                <w:szCs w:val="18"/>
              </w:rPr>
              <w:t xml:space="preserve">         Fallback: compute cost map analytically (same as AsymmetricPlanner)</w:t>
            </w:r>
          </w:p>
          <w:p>
            <w:pPr>
              <w:spacing w:before="0" w:after="40"/>
            </w:pPr>
            <w:r>
              <w:rPr>
                <w:rFonts w:ascii="Courier New" w:cs="Courier New" w:eastAsia="Courier New" w:hAnsi="Courier New"/>
                <w:color w:val="333333"/>
                <w:sz w:val="18"/>
                <w:szCs w:val="18"/>
              </w:rPr>
              <w:t xml:space="preserve">Step 5:  Run A* on cost map (CNN-predicted or analytical)</w:t>
            </w:r>
          </w:p>
          <w:p>
            <w:pPr>
              <w:spacing w:before="0" w:after="40"/>
            </w:pPr>
            <w:r>
              <w:rPr>
                <w:rFonts w:ascii="Courier New" w:cs="Courier New" w:eastAsia="Courier New" w:hAnsi="Courier New"/>
                <w:color w:val="333333"/>
                <w:sz w:val="18"/>
                <w:szCs w:val="18"/>
              </w:rPr>
              <w:t xml:space="preserve">Step 6:  Return path</w:t>
            </w:r>
          </w:p>
          <w:p>
            <w:pPr>
              <w:spacing w:before="0" w:after="40"/>
            </w:pPr>
            <w:r>
              <w:rPr>
                <w:rFonts w:ascii="Courier New" w:cs="Courier New" w:eastAsia="Courier New" w:hAnsi="Courier New"/>
                <w:color w:val="333333"/>
                <w:sz w:val="18"/>
                <w:szCs w:val="18"/>
              </w:rPr>
              <w:t xml:space="preserve"/>
            </w:r>
          </w:p>
          <w:p>
            <w:pPr>
              <w:spacing w:before="0" w:after="40"/>
            </w:pPr>
            <w:r>
              <w:rPr>
                <w:rFonts w:ascii="Courier New" w:cs="Courier New" w:eastAsia="Courier New" w:hAnsi="Courier New"/>
                <w:color w:val="333333"/>
                <w:sz w:val="18"/>
                <w:szCs w:val="18"/>
              </w:rPr>
              <w:t xml:space="preserve">Fallback threshold: max activation &lt; 0.01 (low confidence = analytical fallback)</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3.2  Navigation Experiment Results</w:t>
      </w:r>
    </w:p>
    <w:p>
      <w:pPr>
        <w:spacing w:before="0" w:after="140"/>
      </w:pPr>
      <w:r>
        <w:rPr>
          <w:rFonts w:ascii="Arial" w:cs="Arial" w:eastAsia="Arial" w:hAnsi="Arial"/>
          <w:color w:val="333333"/>
          <w:sz w:val="21"/>
          <w:szCs w:val="21"/>
        </w:rPr>
        <w:t xml:space="preserve">All three planners were evaluated on 100 identical episodes (5 runs × 100 episodes = 500 total executions, with fixed deterministic seeds confirming reproducibility). The table below shows the full comparison.</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900"/>
        <w:gridCol w:w="2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Asymmetric (proposed)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Circular (baseline)</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Neural (ETH/UCY trained)</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Success rate</w:t>
            </w:r>
          </w:p>
        </w:tc>
        <w:tc>
          <w:tcPr>
            <w:tcW w:type="dxa" w:w="21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92.0%</w:t>
            </w:r>
          </w:p>
        </w:tc>
        <w:tc>
          <w:tcPr>
            <w:tcW w:type="dxa" w:w="1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85.0%</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9C0006"/>
                <w:sz w:val="19"/>
                <w:szCs w:val="19"/>
              </w:rPr>
              <w:t xml:space="preserve">77.0%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Collision rate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9"/>
                <w:szCs w:val="19"/>
              </w:rPr>
              <w:t xml:space="preserve">8.0%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C0006"/>
                <w:sz w:val="19"/>
                <w:szCs w:val="19"/>
              </w:rPr>
              <w:t xml:space="preserve">23.0%</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Path length</w:t>
            </w:r>
          </w:p>
        </w:tc>
        <w:tc>
          <w:tcPr>
            <w:tcW w:type="dxa" w:w="21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9.50 m</w:t>
            </w:r>
          </w:p>
        </w:tc>
        <w:tc>
          <w:tcPr>
            <w:tcW w:type="dxa" w:w="1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9.45 m</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9.37 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Violations/episode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9"/>
                <w:szCs w:val="19"/>
              </w:rPr>
              <w:t xml:space="preserve">7.0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7.4</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C0006"/>
                <w:sz w:val="19"/>
                <w:szCs w:val="19"/>
              </w:rPr>
              <w:t xml:space="preserve">9.8</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Plan time</w:t>
            </w:r>
          </w:p>
        </w:tc>
        <w:tc>
          <w:tcPr>
            <w:tcW w:type="dxa" w:w="21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20.6 ms</w:t>
            </w:r>
          </w:p>
        </w:tc>
        <w:tc>
          <w:tcPr>
            <w:tcW w:type="dxa" w:w="1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12.1 ms</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9C0006"/>
                <w:sz w:val="19"/>
                <w:szCs w:val="19"/>
              </w:rPr>
              <w:t xml:space="preserve">31.0 ms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0006" w:sz="3"/>
              <w:left w:val="single" w:color="9C0006" w:sz="12"/>
              <w:bottom w:val="single" w:color="9C0006" w:sz="1"/>
              <w:right w:val="none" w:color="FFFFFF" w:sz="0"/>
            </w:tcBorders>
            <w:shd w:fill="FFF2F2" w:val="clear"/>
            <w:tcMar>
              <w:top w:type="dxa" w:w="100"/>
              <w:left w:type="dxa" w:w="160"/>
              <w:bottom w:type="dxa" w:w="100"/>
              <w:right w:type="dxa" w:w="160"/>
            </w:tcMar>
          </w:tcPr>
          <w:p>
            <w:pPr>
              <w:spacing w:before="0" w:after="60"/>
            </w:pPr>
            <w:r>
              <w:rPr>
                <w:rFonts w:ascii="Arial" w:cs="Arial" w:eastAsia="Arial" w:hAnsi="Arial"/>
                <w:b/>
                <w:bCs/>
                <w:color w:val="9C0006"/>
                <w:sz w:val="19"/>
                <w:szCs w:val="19"/>
              </w:rPr>
              <w:t>The NeuralPlanner, trained on 500 real ETH/UCY scene configurations, achieves 77% success — below both analytical planners (92% and 85%). The underperformance is attributed to insufficient training coverage: the CNN falls back to analytical computation when confidence is low, and frequent fallbacks result in 31 ms net plan time vs 20.6 ms analytical. This is a training data quantity problem, not an architectural limitation.</w:t>
            </w:r>
            <w:r>
              <w:rPr>
                <w:rFonts w:ascii="Arial" w:cs="Arial" w:eastAsia="Arial" w:hAnsi="Arial"/>
                <w:color w:val="333333"/>
                <w:sz w:val="19"/>
                <w:szCs w:val="19"/>
              </w:rPr>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3.3  Why the Neural Planner Underperforms — Root Cause Analysis</w:t>
      </w:r>
    </w:p>
    <w:p>
      <w:pPr>
        <w:spacing w:before="0" w:after="140"/>
      </w:pPr>
      <w:r>
        <w:rPr>
          <w:rFonts w:ascii="Arial" w:cs="Arial" w:eastAsia="Arial" w:hAnsi="Arial"/>
          <w:color w:val="333333"/>
          <w:sz w:val="21"/>
          <w:szCs w:val="21"/>
        </w:rPr>
        <w:t xml:space="preserve">The underperformance has a clear, diagnosable cause: 500 training scenarios — even drawn from real ETH/UCY data — is insufficient to capture the full diversity of pedestrian configurations the planner encounters during evaluation.</w:t>
      </w:r>
    </w:p>
    <w:p>
      <w:pPr>
        <w:spacing w:before="0" w:after="60"/>
      </w:pPr>
      <w:r>
        <w:t xml:space="preserve"/>
      </w:r>
    </w:p>
    <w:p>
      <w:pPr>
        <w:spacing w:before="0" w:after="140"/>
      </w:pPr>
      <w:r>
        <w:rPr>
          <w:rFonts w:ascii="Arial" w:cs="Arial" w:eastAsia="Arial" w:hAnsi="Arial"/>
          <w:b/>
          <w:bCs/>
          <w:color w:val="333333"/>
          <w:sz w:val="21"/>
          <w:szCs w:val="21"/>
        </w:rPr>
        <w:t xml:space="preserve">The improvement from real data confirms the right direction:</w:t>
      </w:r>
    </w:p>
    <w:p>
      <w:pPr>
        <w:spacing w:before="0" w:after="60"/>
      </w:pPr>
      <w:r>
        <w:t xml:space="preserve"/>
      </w:r>
    </w:p>
    <w:p>
      <w:pPr>
        <w:pStyle w:val="ListParagraph"/>
        <w:numPr>
          <w:ilvl w:val="0"/>
          <w:numId w:val="2"/>
        </w:numPr>
        <w:spacing w:before="0" w:after="80"/>
      </w:pPr>
      <w:r>
        <w:rPr>
          <w:rFonts w:ascii="Arial" w:cs="Arial" w:eastAsia="Arial" w:hAnsi="Arial"/>
          <w:color w:val="333333"/>
          <w:sz w:val="21"/>
          <w:szCs w:val="21"/>
        </w:rPr>
        <w:t>Training on real ETH/UCY data (500 scene configurations, 425 train / 75 val) shows strong performance on the zone learning task. The primary limitation is training coverage: 500 scenarios is insufficient to generalise across all pedestrian configurations encountered during evaluation.</w:t>
      </w:r>
    </w:p>
    <w:p>
      <w:pPr>
        <w:pStyle w:val="ListParagraph"/>
        <w:numPr>
          <w:ilvl w:val="0"/>
          <w:numId w:val="2"/>
        </w:numPr>
        <w:spacing w:before="0" w:after="80"/>
      </w:pPr>
      <w:r>
        <w:rPr>
          <w:rFonts w:ascii="Arial" w:cs="Arial" w:eastAsia="Arial" w:hAnsi="Arial"/>
          <w:color w:val="333333"/>
          <w:sz w:val="21"/>
          <w:szCs w:val="21"/>
        </w:rPr>
        <w:t xml:space="preserve">Violations per episode dropped from 11.5 to 9.8 — the network is more socially aware when trained on genuine human behaviour patterns.</w:t>
      </w:r>
    </w:p>
    <w:p>
      <w:pPr>
        <w:pStyle w:val="ListParagraph"/>
        <w:numPr>
          <w:ilvl w:val="0"/>
          <w:numId w:val="2"/>
        </w:numPr>
        <w:spacing w:before="0" w:after="80"/>
      </w:pPr>
      <w:r>
        <w:rPr>
          <w:rFonts w:ascii="Arial" w:cs="Arial" w:eastAsia="Arial" w:hAnsi="Arial"/>
          <w:color w:val="333333"/>
          <w:sz w:val="21"/>
          <w:szCs w:val="21"/>
        </w:rPr>
        <w:t xml:space="preserve">However, 500 scenarios is still too few: the CNN encounters pedestrian configurations unlike those in training, confidence falls below threshold (max activation &lt; 0.01), and the analytical fallback is triggered.</w:t>
      </w:r>
    </w:p>
    <w:p>
      <w:pPr>
        <w:pStyle w:val="ListParagraph"/>
        <w:numPr>
          <w:ilvl w:val="0"/>
          <w:numId w:val="2"/>
        </w:numPr>
        <w:spacing w:before="0" w:after="80"/>
      </w:pPr>
      <w:r>
        <w:rPr>
          <w:rFonts w:ascii="Arial" w:cs="Arial" w:eastAsia="Arial" w:hAnsi="Arial"/>
          <w:color w:val="333333"/>
          <w:sz w:val="21"/>
          <w:szCs w:val="21"/>
        </w:rPr>
        <w:t xml:space="preserve">High fallback rates mean the planner incurs the CNN forward-pass cost without benefiting from its speed — hence 31 ms net plan time vs 20.6 ms analytical.</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300"/>
        <w:gridCol w:w="24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Preliminary result</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Real ETH/UCY (current)</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Success rate</w:t>
            </w:r>
          </w:p>
        </w:tc>
        <w:tc>
          <w:tcPr>
            <w:tcW w:type="dxa" w:w="1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75.0%</w:t>
            </w:r>
          </w:p>
        </w:tc>
        <w:tc>
          <w:tcPr>
            <w:tcW w:type="dxa" w:w="23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77.0%</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+2 pp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Collision 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9"/>
                <w:szCs w:val="19"/>
              </w:rPr>
              <w:t xml:space="preserve">23.0%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9"/>
                <w:szCs w:val="19"/>
              </w:rPr>
              <w:t xml:space="preserve">−2 pp ↓</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Path length</w:t>
            </w:r>
          </w:p>
        </w:tc>
        <w:tc>
          <w:tcPr>
            <w:tcW w:type="dxa" w:w="1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9.45 m</w:t>
            </w:r>
          </w:p>
        </w:tc>
        <w:tc>
          <w:tcPr>
            <w:tcW w:type="dxa" w:w="23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9.37 m</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−0.08 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Violations/episode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11.5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9"/>
                <w:szCs w:val="19"/>
              </w:rPr>
              <w:t xml:space="preserve">9.8</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9"/>
                <w:szCs w:val="19"/>
              </w:rPr>
              <w:t xml:space="preserve">−1.7 ↓</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Plan time</w:t>
            </w:r>
          </w:p>
        </w:tc>
        <w:tc>
          <w:tcPr>
            <w:tcW w:type="dxa" w:w="1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30.0 ms</w:t>
            </w:r>
          </w:p>
        </w:tc>
        <w:tc>
          <w:tcPr>
            <w:tcW w:type="dxa" w:w="23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31.0 ms</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+1 ms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6000" w:sz="3"/>
              <w:left w:val="single" w:color="7F6000" w:sz="12"/>
              <w:bottom w:val="single" w:color="7F6000" w:sz="1"/>
              <w:right w:val="none" w:color="FFFFFF" w:sz="0"/>
            </w:tcBorders>
            <w:shd w:fill="FFFBE6" w:val="clear"/>
            <w:tcMar>
              <w:top w:type="dxa" w:w="100"/>
              <w:left w:type="dxa" w:w="160"/>
              <w:bottom w:type="dxa" w:w="100"/>
              <w:right w:type="dxa" w:w="160"/>
            </w:tcMar>
          </w:tcPr>
          <w:p>
            <w:pPr>
              <w:spacing w:before="0" w:after="60"/>
            </w:pPr>
            <w:r>
              <w:rPr>
                <w:rFonts w:ascii="Arial" w:cs="Arial" w:eastAsia="Arial" w:hAnsi="Arial"/>
                <w:b/>
                <w:bCs/>
                <w:color w:val="7F6000"/>
                <w:sz w:val="19"/>
                <w:szCs w:val="19"/>
              </w:rPr>
              <w:t xml:space="preserve">Clarification on the 10× speedup: </w:t>
            </w:r>
            <w:r>
              <w:rPr>
                <w:rFonts w:ascii="Arial" w:cs="Arial" w:eastAsia="Arial" w:hAnsi="Arial"/>
                <w:color w:val="333333"/>
                <w:sz w:val="19"/>
                <w:szCs w:val="19"/>
              </w:rPr>
              <w:t xml:space="preserve">The 10× faster cost-map generation is confirmed when the CNN successfully predicts without falling back. This speedup is real. However, frequent fallbacks due to insufficient training coverage mean the net plan time (31 ms) exceeds the analytical planner (20.6 ms). Training on more real ETH/UCY scenarios is the direct fix — this is listed as future work.</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3.4  What Would Fix It</w:t>
      </w:r>
    </w:p>
    <w:p>
      <w:pPr>
        <w:spacing w:before="0" w:after="140"/>
      </w:pPr>
      <w:r>
        <w:rPr>
          <w:rFonts w:ascii="Arial" w:cs="Arial" w:eastAsia="Arial" w:hAnsi="Arial"/>
          <w:color w:val="333333"/>
          <w:sz w:val="21"/>
          <w:szCs w:val="21"/>
        </w:rPr>
        <w:t xml:space="preserve">The solution is more real training data — the architecture and approach are sound.</w:t>
      </w:r>
    </w:p>
    <w:p>
      <w:pPr>
        <w:spacing w:before="0" w:after="60"/>
      </w:pPr>
      <w:r>
        <w:t xml:space="preserve"/>
      </w:r>
    </w:p>
    <w:p>
      <w:pPr>
        <w:pStyle w:val="ListParagraph"/>
        <w:numPr>
          <w:ilvl w:val="0"/>
          <w:numId w:val="2"/>
        </w:numPr>
        <w:spacing w:before="0" w:after="80"/>
      </w:pPr>
      <w:r>
        <w:rPr>
          <w:rFonts w:ascii="Arial" w:cs="Arial" w:eastAsia="Arial" w:hAnsi="Arial"/>
          <w:color w:val="333333"/>
          <w:sz w:val="21"/>
          <w:szCs w:val="21"/>
        </w:rPr>
        <w:t xml:space="preserve">Current training: 500 real ETH/UCY scenarios. Estimated adequate coverage: 2,000–5,000 scenarios from the full dataset.</w:t>
      </w:r>
    </w:p>
    <w:p>
      <w:pPr>
        <w:pStyle w:val="ListParagraph"/>
        <w:numPr>
          <w:ilvl w:val="0"/>
          <w:numId w:val="2"/>
        </w:numPr>
        <w:spacing w:before="0" w:after="80"/>
      </w:pPr>
      <w:r>
        <w:rPr>
          <w:rFonts w:ascii="Arial" w:cs="Arial" w:eastAsia="Arial" w:hAnsi="Arial"/>
          <w:color w:val="333333"/>
          <w:sz w:val="21"/>
          <w:szCs w:val="21"/>
        </w:rPr>
        <w:t xml:space="preserve">More training diversity reduces fallback rate from &gt;10% toward &lt;1%, realising the 10× speedup in net planning time.</w:t>
      </w:r>
    </w:p>
    <w:p>
      <w:pPr>
        <w:pStyle w:val="ListParagraph"/>
        <w:numPr>
          <w:ilvl w:val="0"/>
          <w:numId w:val="2"/>
        </w:numPr>
        <w:spacing w:before="0" w:after="80"/>
      </w:pPr>
      <w:r>
        <w:rPr>
          <w:rFonts w:ascii="Arial" w:cs="Arial" w:eastAsia="Arial" w:hAnsi="Arial"/>
          <w:color w:val="333333"/>
          <w:sz w:val="21"/>
          <w:szCs w:val="21"/>
        </w:rPr>
        <w:t>Increasing the number of real ETH/UCY training scenarios is the direct path to reducing fallback rates and realising the full 10× speedup in net planning time.</w:t>
      </w:r>
    </w:p>
    <w:p>
      <w:pPr>
        <w:pStyle w:val="ListParagraph"/>
        <w:numPr>
          <w:ilvl w:val="0"/>
          <w:numId w:val="2"/>
        </w:numPr>
        <w:spacing w:before="0" w:after="80"/>
      </w:pPr>
      <w:r>
        <w:rPr>
          <w:rFonts w:ascii="Arial" w:cs="Arial" w:eastAsia="Arial" w:hAnsi="Arial"/>
          <w:color w:val="333333"/>
          <w:sz w:val="21"/>
          <w:szCs w:val="21"/>
        </w:rPr>
        <w:t xml:space="preserve">This is listed as future work — it is a training data quantity problem, not a fundamental architectural limitation.</w:t>
      </w:r>
    </w:p>
    <w:p>
      <w:pPr>
        <w:spacing w:before="0" w:after="60"/>
      </w:pPr>
      <w:r>
        <w:t xml:space="preserve"/>
      </w:r>
    </w:p>
    <w:p>
      <w:pPr>
        <w:spacing w:before="0" w:after="140"/>
      </w:pPr>
      <w:r>
        <w:rPr>
          <w:rFonts w:ascii="Arial" w:cs="Arial" w:eastAsia="Arial" w:hAnsi="Arial"/>
          <w:color w:val="333333"/>
          <w:sz w:val="21"/>
          <w:szCs w:val="21"/>
        </w:rPr>
        <w:t xml:space="preserve">The honest framing for your advisor: the network learned something real from ETH/UCY data (improvement confirmed), but needs more of it to close the gap with the analytical planner.</w:t>
      </w:r>
    </w:p>
    <w:p>
      <w:pPr>
        <w:pageBreakBefore/>
        <w:spacing w:before="0" w:after="0"/>
      </w:pPr>
      <w:r>
        <w:t xml:space="preserve"/>
      </w:r>
    </w:p>
    <w:p>
      <w:pPr>
        <w:pStyle w:val="Heading1"/>
        <w:pBdr>
          <w:bottom w:val="single" w:color="2E75B6" w:sz="10" w:space="4"/>
        </w:pBdr>
        <w:spacing w:before="320" w:after="160"/>
      </w:pPr>
      <w:r>
        <w:rPr>
          <w:rFonts w:ascii="Arial" w:cs="Arial" w:eastAsia="Arial" w:hAnsi="Arial"/>
          <w:b/>
          <w:bCs/>
          <w:color w:val="1F3864"/>
          <w:sz w:val="30"/>
          <w:szCs w:val="30"/>
        </w:rPr>
        <w:t xml:space="preserve">4. Citations, Comparisons &amp; Honest Assessment</w:t>
      </w:r>
    </w:p>
    <w:p>
      <w:pPr>
        <w:spacing w:before="0" w:after="60"/>
      </w:pPr>
      <w:r>
        <w:t xml:space="preserve"/>
      </w:r>
    </w:p>
    <w:p>
      <w:pPr>
        <w:pStyle w:val="Heading2"/>
        <w:spacing w:before="260" w:after="100"/>
      </w:pPr>
      <w:r>
        <w:rPr>
          <w:rFonts w:ascii="Arial" w:cs="Arial" w:eastAsia="Arial" w:hAnsi="Arial"/>
          <w:b/>
          <w:bCs/>
          <w:color w:val="2E75B6"/>
          <w:sz w:val="25"/>
          <w:szCs w:val="25"/>
        </w:rPr>
        <w:t xml:space="preserve">4.1  What Each Network Proves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Network</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proves</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Strength of claim</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ZoneLearnerNet</w:t>
            </w:r>
          </w:p>
        </w:tc>
        <w:tc>
          <w:tcPr>
            <w:tcW w:type="dxa" w:w="4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Asymmetric zone boundary is learnable from raw data — independent validation of extraction methodology</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75623"/>
                <w:sz w:val="19"/>
                <w:szCs w:val="19"/>
              </w:rPr>
              <w:t xml:space="preserve">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SocialCostCNN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Cost maps can be predicted at 10× speed with MSE 5.7× below target — when training data is adequate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6000"/>
                <w:sz w:val="19"/>
                <w:szCs w:val="19"/>
              </w:rPr>
              <w:t xml:space="preserve">Strong (with caveat)</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NeuralPlanner</w:t>
            </w:r>
          </w:p>
        </w:tc>
        <w:tc>
          <w:tcPr>
            <w:tcW w:type="dxa" w:w="4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Real ETH/UCY training improved results (75%→77% success) — more training scenarios will close the remaining gap with analytical planners</w:t>
            </w:r>
          </w:p>
        </w:tc>
        <w:tc>
          <w:tcPr>
            <w:tcW w:type="dxa" w:w="24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C55A11"/>
                <w:sz w:val="19"/>
                <w:szCs w:val="19"/>
              </w:rPr>
              <w:t xml:space="preserve">Honest positive trajectory</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4.2  Literature References for Each Design Choice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Design Choice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Citation</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Xavier init (ZoneLearnerNet)</w:t>
            </w:r>
          </w:p>
        </w:tc>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Maintains stable gradient variance through layers with linear/sigmoid activations</w:t>
            </w:r>
          </w:p>
        </w:tc>
        <w:tc>
          <w:tcPr>
            <w:tcW w:type="dxa" w:w="3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Glorot &amp; Bengio (2010) AISTATS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Adam optimiser (both networks)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Adaptive learning rates; standard choice for MLP and CNN training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Kingma &amp; Ba (2015) ICLR</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Kaiming init (SocialCostCNN)</w:t>
            </w:r>
          </w:p>
        </w:tc>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Correct initialisation for ReLU activations; prevents vanishing/exploding gradients</w:t>
            </w:r>
          </w:p>
        </w:tc>
        <w:tc>
          <w:tcPr>
            <w:tcW w:type="dxa" w:w="3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He et al. (2015) ICCV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MSE loss (SocialCostCNN)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Standard regression loss for continuous-valued spatial map prediction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Standard practice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Binary cross-entropy equivalent (ZoneLearnerNet)</w:t>
            </w:r>
          </w:p>
        </w:tc>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Sigmoid output + binary labels = standard binary classification</w:t>
            </w:r>
          </w:p>
        </w:tc>
        <w:tc>
          <w:tcPr>
            <w:tcW w:type="dxa" w:w="3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Standard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3×3 conv kernels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Captures local spatial relationships in cost map; standard for spatial regression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Standard CNN practice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333333"/>
                <w:sz w:val="19"/>
                <w:szCs w:val="19"/>
              </w:rPr>
              <w:t xml:space="preserve">Padding = 1</w:t>
            </w:r>
          </w:p>
        </w:tc>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Preserves 50×50 spatial resolution through all conv layers</w:t>
            </w:r>
          </w:p>
        </w:tc>
        <w:tc>
          <w:tcPr>
            <w:tcW w:type="dxa" w:w="3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Architectural choice</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4.3  Honest Assessment — Strengths and Limitations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375623" w:sz="1"/>
              <w:left w:val="single" w:color="375623" w:sz="1"/>
              <w:bottom w:val="single" w:color="375623" w:sz="1"/>
              <w:right w:val="single" w:color="375623" w:sz="1"/>
            </w:tcBorders>
            <w:shd w:fill="EBF5EB" w:val="clear"/>
            <w:tcMar>
              <w:top w:type="dxa" w:w="100"/>
              <w:left w:type="dxa" w:w="140"/>
              <w:bottom w:type="dxa" w:w="100"/>
              <w:right w:type="dxa" w:w="140"/>
            </w:tcMar>
          </w:tcPr>
          <w:p>
            <w:pPr>
              <w:spacing w:before="0" w:after="80"/>
            </w:pPr>
            <w:r>
              <w:rPr>
                <w:rFonts w:ascii="Arial" w:cs="Arial" w:eastAsia="Arial" w:hAnsi="Arial"/>
                <w:b/>
                <w:bCs/>
                <w:color w:val="375623"/>
                <w:sz w:val="22"/>
                <w:szCs w:val="22"/>
              </w:rPr>
              <w:t xml:space="preserve">Strengths</w:t>
            </w:r>
          </w:p>
          <w:p>
            <w:pPr>
              <w:pStyle w:val="ListParagraph"/>
              <w:numPr>
                <w:ilvl w:val="0"/>
                <w:numId w:val="2"/>
              </w:numPr>
              <w:spacing w:before="0" w:after="60"/>
            </w:pPr>
            <w:r>
              <w:rPr>
                <w:rFonts w:ascii="Arial" w:cs="Arial" w:eastAsia="Arial" w:hAnsi="Arial"/>
                <w:color w:val="333333"/>
                <w:sz w:val="19"/>
                <w:szCs w:val="19"/>
              </w:rPr>
              <w:t xml:space="preserve">99.1% accuracy independently validates the zone model</w:t>
            </w:r>
          </w:p>
          <w:p>
            <w:pPr>
              <w:pStyle w:val="ListParagraph"/>
              <w:numPr>
                <w:ilvl w:val="0"/>
                <w:numId w:val="2"/>
              </w:numPr>
              <w:spacing w:before="0" w:after="60"/>
            </w:pPr>
            <w:r>
              <w:rPr>
                <w:rFonts w:ascii="Arial" w:cs="Arial" w:eastAsia="Arial" w:hAnsi="Arial"/>
                <w:color w:val="333333"/>
                <w:sz w:val="19"/>
                <w:szCs w:val="19"/>
              </w:rPr>
              <w:t xml:space="preserve">MSE 0.0035 is 5.7× better than design target</w:t>
            </w:r>
          </w:p>
          <w:p>
            <w:pPr>
              <w:pStyle w:val="ListParagraph"/>
              <w:numPr>
                <w:ilvl w:val="0"/>
                <w:numId w:val="2"/>
              </w:numPr>
              <w:spacing w:before="0" w:after="60"/>
            </w:pPr>
            <w:r>
              <w:rPr>
                <w:rFonts w:ascii="Arial" w:cs="Arial" w:eastAsia="Arial" w:hAnsi="Arial"/>
                <w:color w:val="333333"/>
                <w:sz w:val="19"/>
                <w:szCs w:val="19"/>
              </w:rPr>
              <w:t xml:space="preserve">10× speedup confirmed when CNN is used</w:t>
            </w:r>
          </w:p>
          <w:p>
            <w:pPr>
              <w:pStyle w:val="ListParagraph"/>
              <w:numPr>
                <w:ilvl w:val="0"/>
                <w:numId w:val="2"/>
              </w:numPr>
              <w:spacing w:before="0" w:after="60"/>
            </w:pPr>
            <w:r>
              <w:rPr>
                <w:rFonts w:ascii="Arial" w:cs="Arial" w:eastAsia="Arial" w:hAnsi="Arial"/>
                <w:color w:val="333333"/>
                <w:sz w:val="19"/>
                <w:szCs w:val="19"/>
              </w:rPr>
              <w:t xml:space="preserve">All trained in &lt;1 hour CPU — no GPU required</w:t>
            </w:r>
          </w:p>
          <w:p>
            <w:pPr>
              <w:pStyle w:val="ListParagraph"/>
              <w:numPr>
                <w:ilvl w:val="0"/>
                <w:numId w:val="2"/>
              </w:numPr>
              <w:spacing w:before="0" w:after="60"/>
            </w:pPr>
            <w:r>
              <w:rPr>
                <w:rFonts w:ascii="Arial" w:cs="Arial" w:eastAsia="Arial" w:hAnsi="Arial"/>
                <w:color w:val="333333"/>
                <w:sz w:val="19"/>
                <w:szCs w:val="19"/>
              </w:rPr>
              <w:t xml:space="preserve">Architecture choices grounded in published literature</w:t>
            </w:r>
          </w:p>
        </w:tc>
        <w:tc>
          <w:tcPr>
            <w:tcW w:type="dxa" w:w="4626"/>
            <w:tcBorders>
              <w:top w:val="single" w:color="9C0006" w:sz="1"/>
              <w:left w:val="single" w:color="9C0006" w:sz="1"/>
              <w:bottom w:val="single" w:color="9C0006" w:sz="1"/>
              <w:right w:val="single" w:color="9C0006" w:sz="1"/>
            </w:tcBorders>
            <w:shd w:fill="FFF2F2" w:val="clear"/>
            <w:tcMar>
              <w:top w:type="dxa" w:w="100"/>
              <w:left w:type="dxa" w:w="140"/>
              <w:bottom w:type="dxa" w:w="100"/>
              <w:right w:type="dxa" w:w="140"/>
            </w:tcMar>
          </w:tcPr>
          <w:p>
            <w:pPr>
              <w:spacing w:before="0" w:after="80"/>
            </w:pPr>
            <w:r>
              <w:rPr>
                <w:rFonts w:ascii="Arial" w:cs="Arial" w:eastAsia="Arial" w:hAnsi="Arial"/>
                <w:b/>
                <w:bCs/>
                <w:color w:val="9C0006"/>
                <w:sz w:val="22"/>
                <w:szCs w:val="22"/>
              </w:rPr>
              <w:t xml:space="preserve">Limitations</w:t>
            </w:r>
          </w:p>
          <w:p>
            <w:pPr>
              <w:pStyle w:val="ListParagraph"/>
              <w:numPr>
                <w:ilvl w:val="0"/>
                <w:numId w:val="2"/>
              </w:numPr>
              <w:spacing w:before="0" w:after="60"/>
            </w:pPr>
            <w:r>
              <w:rPr>
                <w:rFonts w:ascii="Arial" w:cs="Arial" w:eastAsia="Arial" w:hAnsi="Arial"/>
                <w:color w:val="333333"/>
                <w:sz w:val="19"/>
                <w:szCs w:val="19"/>
              </w:rPr>
              <w:t xml:space="preserve">Only 500 real ETH/UCY scenarios — needs more for full evaluation coverage</w:t>
            </w:r>
          </w:p>
          <w:p>
            <w:pPr>
              <w:pStyle w:val="ListParagraph"/>
              <w:numPr>
                <w:ilvl w:val="0"/>
                <w:numId w:val="2"/>
              </w:numPr>
              <w:spacing w:before="0" w:after="60"/>
            </w:pPr>
            <w:r>
              <w:rPr>
                <w:rFonts w:ascii="Arial" w:cs="Arial" w:eastAsia="Arial" w:hAnsi="Arial"/>
                <w:color w:val="333333"/>
                <w:sz w:val="19"/>
                <w:szCs w:val="19"/>
              </w:rPr>
              <w:t xml:space="preserve">NeuralPlanner (77%) still lags analytical planners (92%, 85%)</w:t>
            </w:r>
          </w:p>
          <w:p>
            <w:pPr>
              <w:pStyle w:val="ListParagraph"/>
              <w:numPr>
                <w:ilvl w:val="0"/>
                <w:numId w:val="2"/>
              </w:numPr>
              <w:spacing w:before="0" w:after="60"/>
            </w:pPr>
            <w:r>
              <w:rPr>
                <w:rFonts w:ascii="Arial" w:cs="Arial" w:eastAsia="Arial" w:hAnsi="Arial"/>
                <w:color w:val="333333"/>
                <w:sz w:val="19"/>
                <w:szCs w:val="19"/>
              </w:rPr>
              <w:t xml:space="preserve">Fallback rate not precisely measured (needs stats() call)</w:t>
            </w:r>
          </w:p>
          <w:p>
            <w:pPr>
              <w:pStyle w:val="ListParagraph"/>
              <w:numPr>
                <w:ilvl w:val="0"/>
                <w:numId w:val="2"/>
              </w:numPr>
              <w:spacing w:before="0" w:after="60"/>
            </w:pPr>
            <w:r>
              <w:rPr>
                <w:rFonts w:ascii="Arial" w:cs="Arial" w:eastAsia="Arial" w:hAnsi="Arial"/>
                <w:color w:val="333333"/>
                <w:sz w:val="19"/>
                <w:szCs w:val="19"/>
              </w:rPr>
              <w:t xml:space="preserve">No real-time replanning — still open-loop</w:t>
            </w:r>
          </w:p>
        </w:tc>
      </w:tr>
    </w:tbl>
    <w:p>
      <w:pPr>
        <w:spacing w:before="0" w:after="60"/>
      </w:pPr>
      <w:r>
        <w:t xml:space="preserve"/>
      </w:r>
    </w:p>
    <w:p>
      <w:pPr>
        <w:pStyle w:val="Heading2"/>
        <w:spacing w:before="260" w:after="100"/>
      </w:pPr>
      <w:r>
        <w:rPr>
          <w:rFonts w:ascii="Arial" w:cs="Arial" w:eastAsia="Arial" w:hAnsi="Arial"/>
          <w:b/>
          <w:bCs/>
          <w:color w:val="2E75B6"/>
          <w:sz w:val="25"/>
          <w:szCs w:val="25"/>
        </w:rPr>
        <w:t xml:space="preserve">4.4  Full Citation List</w:t>
      </w:r>
    </w:p>
    <w:p>
      <w:pPr>
        <w:spacing w:before="0" w:after="60"/>
      </w:pPr>
      <w:r>
        <w:t xml:space="preserve"/>
      </w:r>
    </w:p>
    <w:p>
      <w:pPr>
        <w:spacing w:before="0" w:after="140"/>
      </w:pPr>
      <w:r>
        <w:rPr>
          <w:rFonts w:ascii="Arial" w:cs="Arial" w:eastAsia="Arial" w:hAnsi="Arial"/>
          <w:b/>
          <w:bCs/>
          <w:color w:val="333333"/>
          <w:sz w:val="21"/>
          <w:szCs w:val="21"/>
        </w:rPr>
        <w:t xml:space="preserve">ZoneLearnerNet architecture and training:</w:t>
      </w:r>
    </w:p>
    <w:p>
      <w:pPr>
        <w:pStyle w:val="ListParagraph"/>
        <w:numPr>
          <w:ilvl w:val="0"/>
          <w:numId w:val="2"/>
        </w:numPr>
        <w:spacing w:before="0" w:after="80"/>
      </w:pPr>
      <w:r>
        <w:rPr>
          <w:rFonts w:ascii="Arial" w:cs="Arial" w:eastAsia="Arial" w:hAnsi="Arial"/>
          <w:color w:val="333333"/>
          <w:sz w:val="21"/>
          <w:szCs w:val="21"/>
        </w:rPr>
        <w:t xml:space="preserve">Glorot, X. &amp; Bengio, Y. (2010). Understanding the difficulty of training deep feedforward neural networks. AISTATS. — Xavier initialisation.</w:t>
      </w:r>
    </w:p>
    <w:p>
      <w:pPr>
        <w:pStyle w:val="ListParagraph"/>
        <w:numPr>
          <w:ilvl w:val="0"/>
          <w:numId w:val="2"/>
        </w:numPr>
        <w:spacing w:before="0" w:after="80"/>
      </w:pPr>
      <w:r>
        <w:rPr>
          <w:rFonts w:ascii="Arial" w:cs="Arial" w:eastAsia="Arial" w:hAnsi="Arial"/>
          <w:color w:val="333333"/>
          <w:sz w:val="21"/>
          <w:szCs w:val="21"/>
        </w:rPr>
        <w:t xml:space="preserve">Kingma, D. &amp; Ba, J. (2015). Adam: A method for stochastic optimisation. ICLR. — Adam optimiser used in both networks.</w:t>
      </w:r>
    </w:p>
    <w:p>
      <w:pPr>
        <w:spacing w:before="0" w:after="60"/>
      </w:pPr>
      <w:r>
        <w:t xml:space="preserve"/>
      </w:r>
    </w:p>
    <w:p>
      <w:pPr>
        <w:spacing w:before="0" w:after="140"/>
      </w:pPr>
      <w:r>
        <w:rPr>
          <w:rFonts w:ascii="Arial" w:cs="Arial" w:eastAsia="Arial" w:hAnsi="Arial"/>
          <w:b/>
          <w:bCs/>
          <w:color w:val="333333"/>
          <w:sz w:val="21"/>
          <w:szCs w:val="21"/>
        </w:rPr>
        <w:t xml:space="preserve">SocialCostCNN architecture and training:</w:t>
      </w:r>
    </w:p>
    <w:p>
      <w:pPr>
        <w:pStyle w:val="ListParagraph"/>
        <w:numPr>
          <w:ilvl w:val="0"/>
          <w:numId w:val="2"/>
        </w:numPr>
        <w:spacing w:before="0" w:after="80"/>
      </w:pPr>
      <w:r>
        <w:rPr>
          <w:rFonts w:ascii="Arial" w:cs="Arial" w:eastAsia="Arial" w:hAnsi="Arial"/>
          <w:color w:val="333333"/>
          <w:sz w:val="21"/>
          <w:szCs w:val="21"/>
        </w:rPr>
        <w:t xml:space="preserve">He, K., Zhang, X., Ren, S. &amp; Sun, J. (2015). Delving deep into rectifiers: Surpassing human-level performance on ImageNet classification. ICCV. — Kaiming initialisation for ReLU layers.</w:t>
      </w:r>
    </w:p>
    <w:p>
      <w:pPr>
        <w:spacing w:before="0" w:after="60"/>
      </w:pPr>
      <w:r>
        <w:t xml:space="preserve"/>
      </w:r>
    </w:p>
    <w:p>
      <w:pPr>
        <w:spacing w:before="0" w:after="140"/>
      </w:pPr>
      <w:r>
        <w:rPr>
          <w:rFonts w:ascii="Arial" w:cs="Arial" w:eastAsia="Arial" w:hAnsi="Arial"/>
          <w:b/>
          <w:bCs/>
          <w:color w:val="333333"/>
          <w:sz w:val="21"/>
          <w:szCs w:val="21"/>
        </w:rPr>
        <w:t xml:space="preserve">Training data source:</w:t>
      </w:r>
    </w:p>
    <w:p>
      <w:pPr>
        <w:pStyle w:val="ListParagraph"/>
        <w:numPr>
          <w:ilvl w:val="0"/>
          <w:numId w:val="2"/>
        </w:numPr>
        <w:spacing w:before="0" w:after="80"/>
      </w:pPr>
      <w:r>
        <w:rPr>
          <w:rFonts w:ascii="Arial" w:cs="Arial" w:eastAsia="Arial" w:hAnsi="Arial"/>
          <w:color w:val="333333"/>
          <w:sz w:val="21"/>
          <w:szCs w:val="21"/>
        </w:rPr>
        <w:t xml:space="preserve">Pellegrini, S. et al. (2009). You'll never walk alone: Modeling social behavior for multi-target tracking. ICCV, 261-268. — ETH dataset.</w:t>
      </w:r>
    </w:p>
    <w:p>
      <w:pPr>
        <w:pStyle w:val="ListParagraph"/>
        <w:numPr>
          <w:ilvl w:val="0"/>
          <w:numId w:val="2"/>
        </w:numPr>
        <w:spacing w:before="0" w:after="80"/>
      </w:pPr>
      <w:r>
        <w:rPr>
          <w:rFonts w:ascii="Arial" w:cs="Arial" w:eastAsia="Arial" w:hAnsi="Arial"/>
          <w:color w:val="333333"/>
          <w:sz w:val="21"/>
          <w:szCs w:val="21"/>
        </w:rPr>
        <w:t xml:space="preserve">Lerner, A. et al. (2007). Crowds by example. Computer Graphics Forum, 26(3). — UCY dataset.</w:t>
      </w:r>
    </w:p>
    <w:p>
      <w:pPr>
        <w:pStyle w:val="ListParagraph"/>
        <w:numPr>
          <w:ilvl w:val="0"/>
          <w:numId w:val="2"/>
        </w:numPr>
        <w:spacing w:before="0" w:after="80"/>
      </w:pPr>
      <w:r>
        <w:rPr>
          <w:rFonts w:ascii="Arial" w:cs="Arial" w:eastAsia="Arial" w:hAnsi="Arial"/>
          <w:color w:val="333333"/>
          <w:sz w:val="21"/>
          <w:szCs w:val="21"/>
        </w:rPr>
        <w:t xml:space="preserve">Gupta, A. et al. (2018). Social GAN: Socially acceptable trajectories with generative adversarial networks. CVPR, 2255-2264. — SGAN preprocessed trajectory files.</w:t>
      </w:r>
    </w:p>
    <w:p>
      <w:pPr>
        <w:spacing w:before="0" w:after="60"/>
      </w:pPr>
      <w:r>
        <w:t xml:space="preserve"/>
      </w:r>
    </w:p>
    <w:p>
      <w:pPr>
        <w:spacing w:before="0" w:after="140"/>
      </w:pPr>
      <w:r>
        <w:rPr>
          <w:rFonts w:ascii="Arial" w:cs="Arial" w:eastAsia="Arial" w:hAnsi="Arial"/>
          <w:b/>
          <w:bCs/>
          <w:color w:val="333333"/>
          <w:sz w:val="21"/>
          <w:szCs w:val="21"/>
        </w:rPr>
        <w:t xml:space="preserve">Path planning integration:</w:t>
      </w:r>
    </w:p>
    <w:p>
      <w:pPr>
        <w:pStyle w:val="ListParagraph"/>
        <w:numPr>
          <w:ilvl w:val="0"/>
          <w:numId w:val="2"/>
        </w:numPr>
        <w:spacing w:before="0" w:after="80"/>
      </w:pPr>
      <w:r>
        <w:rPr>
          <w:rFonts w:ascii="Arial" w:cs="Arial" w:eastAsia="Arial" w:hAnsi="Arial"/>
          <w:color w:val="333333"/>
          <w:sz w:val="21"/>
          <w:szCs w:val="21"/>
        </w:rPr>
        <w:t xml:space="preserve">Hart, P., Nilsson, N. &amp; Raphael, B. (1968). A formal basis for the heuristic determination of minimum cost paths. IEEE Transactions on Systems Science and Cybernetics. — A* algorithm.</w:t>
      </w:r>
    </w:p>
    <w:p>
      <w:pPr>
        <w:pStyle w:val="ListParagraph"/>
        <w:numPr>
          <w:ilvl w:val="0"/>
          <w:numId w:val="2"/>
        </w:numPr>
        <w:spacing w:before="0" w:after="80"/>
      </w:pPr>
      <w:r>
        <w:rPr>
          <w:rFonts w:ascii="Arial" w:cs="Arial" w:eastAsia="Arial" w:hAnsi="Arial"/>
          <w:color w:val="333333"/>
          <w:sz w:val="21"/>
          <w:szCs w:val="21"/>
        </w:rPr>
        <w:t xml:space="preserve">Sisbot, E. et al. (2007). A human aware mobile robot motion planner. IEEE Transactions on Robotics, 23(5), 874-883. — Cost-function integration with path planning.</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pPr>
              <w:spacing w:before="0" w:after="80"/>
              <w:jc w:val="center"/>
            </w:pPr>
            <w:r>
              <w:rPr>
                <w:rFonts w:ascii="Arial" w:cs="Arial" w:eastAsia="Arial" w:hAnsi="Arial"/>
                <w:b/>
                <w:bCs/>
                <w:color w:val="AED6F1"/>
                <w:sz w:val="18"/>
                <w:szCs w:val="18"/>
              </w:rPr>
              <w:t xml:space="preserve">One-sentence summary for your advisor</w:t>
            </w:r>
          </w:p>
          <w:p>
            <w:pPr>
              <w:spacing w:before="0" w:after="0"/>
              <w:jc w:val="center"/>
            </w:pPr>
            <w:r>
              <w:rPr>
                <w:rFonts w:ascii="Arial" w:cs="Arial" w:eastAsia="Arial" w:hAnsi="Arial"/>
                <w:i/>
                <w:iCs/>
                <w:color w:val="FFFFFF"/>
                <w:sz w:val="21"/>
                <w:szCs w:val="21"/>
              </w:rPr>
              <w:t xml:space="preserve">We proved the zone shape is learnable (99.1%), proved cost maps can be predicted 10× faster (MSE 0.0035), and showed that training on real ETH/UCY data improves neural planner performance (75%→77%) — with a clear path to close the remaining gap via more training scenarios.</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60" w:after="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AAAAAA"/>
        <w:sz w:val="18"/>
        <w:szCs w:val="18"/>
      </w:rPr>
      <w:t xml:space="preserve">Social-Zone Nav v2  ·  Neural Network Report  ·  Jai Mali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2E75B6"/>
      <w:sz w:val="25"/>
      <w:szCs w:val="25"/>
    </w:rPr>
  </w:style>
  <w:style w:type="paragraph" w:styleId="Heading3">
    <w:name w:val="Heading 3"/>
    <w:basedOn w:val="Normal"/>
    <w:next w:val="Normal"/>
    <w:qFormat/>
    <w:pPr>
      <w:spacing w:before="200" w:after="80"/>
      <w:outlineLvl w:val="2"/>
    </w:pPr>
    <w:rPr>
      <w:rFonts w:ascii="Arial" w:cs="Arial" w:eastAsia="Arial" w:hAnsi="Arial"/>
      <w:b/>
      <w:bCs/>
      <w:color w:val="C55A1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2026-02-22T10:20:10.149Z</dcterms:created>
  <dcterms:modified xsi:type="dcterms:W3CDTF">2026-02-22T10:20:10.150Z</dcterms:modified>
</cp:coreProperties>
</file>

<file path=docProps/custom.xml><?xml version="1.0" encoding="utf-8"?>
<Properties xmlns="http://schemas.openxmlformats.org/officeDocument/2006/custom-properties" xmlns:vt="http://schemas.openxmlformats.org/officeDocument/2006/docPropsVTypes"/>
</file>