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Auswirkungen auf Service-Architektur (Spring Boot + React)</w:t>
      </w:r>
    </w:p>
    <w:p>
      <w:r>
        <w:t>1. Datenbankmodell ist jetzt verbindlicher</w:t>
      </w:r>
    </w:p>
    <w:p>
      <w:r>
        <w:t xml:space="preserve">Durch InnoDB, Foreign Keys, ON DELETE CASCADE, UNIQUE und NOT NULL erzwingt die Datenbank Fachregeln. </w:t>
      </w:r>
    </w:p>
    <w:p>
      <w:r>
        <w:t>Der Backend-Service muss diese Regeln berücksichtigen und Fehler sauber behandeln.</w:t>
      </w:r>
    </w:p>
    <w:p/>
    <w:p>
      <w:r>
        <w:t>2. Löschen eines Mitglieds wird einfacher</w:t>
      </w:r>
    </w:p>
    <w:p>
      <w:r>
        <w:t>Backend muss nur noch DELETE /members/{mitgliedsnummer} ausführen.</w:t>
      </w:r>
    </w:p>
    <w:p>
      <w:r>
        <w:t>Die abhängigen Daten werden automatisch durch die Datenbank gelöscht.</w:t>
      </w:r>
    </w:p>
    <w:p/>
    <w:p>
      <w:r>
        <w:t>3. Anlage eines Mitglieds sollte transaktional im Backend passieren</w:t>
      </w:r>
    </w:p>
    <w:p>
      <w:r>
        <w:t>Alle Inserts gehören in eine Transaktion (@Transactional in Spring Boot).</w:t>
      </w:r>
    </w:p>
    <w:p/>
    <w:p>
      <w:r>
        <w:t>4. Lookup-/Fachtabellen sind echte Referenzen</w:t>
      </w:r>
    </w:p>
    <w:p>
      <w:r>
        <w:t>Dropdowns im Frontend sollten aus diesen Tabellen geladen werden:</w:t>
      </w:r>
    </w:p>
    <w:p>
      <w:r>
        <w:t>tblStimme_FT, tblMitgliederstatus_FT, tblEhrungen_FT, tblFunktionen_FT, tblVerteiler_FT.</w:t>
      </w:r>
    </w:p>
    <w:p/>
    <w:p>
      <w:r>
        <w:t>5. Validierungen ins Backend verlagern</w:t>
      </w:r>
    </w:p>
    <w:p>
      <w:r>
        <w:t>Pflichtfelder, Längen und Datentypen müssen serverseitig geprüft werden.</w:t>
      </w:r>
    </w:p>
    <w:p/>
    <w:p>
      <w:r>
        <w:t>6. Tabellenstruktur für Entities/DTOs relevant</w:t>
      </w:r>
    </w:p>
    <w:p>
      <w:r>
        <w:t>Beispiel:</w:t>
      </w:r>
    </w:p>
    <w:p>
      <w:r>
        <w:t>- EMail varchar(100)</w:t>
      </w:r>
    </w:p>
    <w:p>
      <w:r>
        <w:t>- Adresszusatz varchar(50)</w:t>
      </w:r>
    </w:p>
    <w:p>
      <w:r>
        <w:t>- Boolean-Felder NOT NULL DEFAULT 0</w:t>
      </w:r>
    </w:p>
    <w:p>
      <w:r>
        <w:t>- Kaufpreis decimal(10,2)</w:t>
      </w:r>
    </w:p>
    <w:p/>
    <w:p>
      <w:r>
        <w:t>7. Mehrfachbereiche als eigene Ressourcen modellieren</w:t>
      </w:r>
    </w:p>
    <w:p>
      <w:r>
        <w:t>Beispiel-API:</w:t>
      </w:r>
    </w:p>
    <w:p>
      <w:r>
        <w:t>GET /members/{id}/ehrungen</w:t>
      </w:r>
    </w:p>
    <w:p>
      <w:r>
        <w:t>POST /members/{id}/ehrungen</w:t>
      </w:r>
    </w:p>
    <w:p>
      <w:r>
        <w:t>DELETE /ehrungen/{id}</w:t>
      </w:r>
    </w:p>
    <w:p/>
    <w:p>
      <w:r>
        <w:t>Fazit:</w:t>
      </w:r>
    </w:p>
    <w:p>
      <w:r>
        <w:t>Die Datenbank ist jetzt eine stabile Grundlage.</w:t>
      </w:r>
    </w:p>
    <w:p>
      <w:r>
        <w:t>Spring Boot übernimmt die Geschäftslogik, React die Darstellung.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