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spacing w:after="200"/>
      </w:pPr>
      <w:r>
        <w:rPr/>
        <w:t>Where Meeting Reasoning Gets Lost: A Feasibility Study of Decision-Context Gap Detection in Enterprise Meetings</w:t>
      </w:r>
    </w:p>
    <w:p>
      <w:pPr>
        <w:sectPr>
          <w:pgSz w:w="12240" w:h="15840"/>
          <w:pgMar w:top="1080" w:right="893" w:bottom="1440" w:left="893" w:header="720" w:footer="720" w:gutter="0"/>
          <w:cols w:space="360" w:num="1"/>
          <w:docGrid w:linePitch="360"/>
        </w:sectPr>
      </w:pPr>
    </w:p>
    <w:p>
      <w:pPr>
        <w:pStyle w:val="Author"/>
        <w:spacing w:before="120"/>
      </w:pPr>
      <w:r>
        <w:rPr/>
        <w:t>Jaitra Shah</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pStyle w:val="Author"/>
        <w:spacing w:before="120"/>
      </w:pPr>
      <w:r>
        <w:br w:type="column"/>
      </w:r>
      <w:r>
        <w:rPr/>
        <w:t>Manan Mehta</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pStyle w:val="Author"/>
        <w:spacing w:before="120"/>
      </w:pPr>
      <w:r>
        <w:br w:type="column"/>
      </w:r>
      <w:r>
        <w:rPr/>
        <w:t>Soham Dwivedi</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pStyle w:val="Author"/>
        <w:spacing w:before="120"/>
      </w:pPr>
      <w:r>
        <w:br w:type="column"/>
      </w:r>
      <w:r>
        <w:rPr/>
        <w:t>Aayusman Pati</w:t>
      </w:r>
    </w:p>
    <w:p>
      <w:pPr>
        <w:pStyle w:val="Author"/>
        <w:spacing w:before="0" w:after="0"/>
      </w:pPr>
      <w:r>
        <w:rPr>
          <w:i/>
          <w:sz w:val="18"/>
        </w:rPr>
        <w:t>Dept. of Computer Science</w:t>
      </w:r>
    </w:p>
    <w:p>
      <w:pPr>
        <w:pStyle w:val="Author"/>
        <w:spacing w:before="0" w:after="0"/>
      </w:pPr>
      <w:r>
        <w:rPr>
          <w:i/>
          <w:sz w:val="18"/>
        </w:rPr>
        <w:t>and Business Systems</w:t>
      </w:r>
    </w:p>
    <w:p>
      <w:pPr>
        <w:pStyle w:val="Author"/>
        <w:spacing w:before="0" w:after="0"/>
      </w:pPr>
      <w:r>
        <w:rPr>
          <w:i/>
          <w:sz w:val="18"/>
        </w:rPr>
        <w:t>Mukesh Patel School of</w:t>
      </w:r>
    </w:p>
    <w:p>
      <w:pPr>
        <w:pStyle w:val="Author"/>
        <w:spacing w:before="0" w:after="0"/>
      </w:pPr>
      <w:r>
        <w:rPr>
          <w:i/>
          <w:sz w:val="18"/>
        </w:rPr>
        <w:t>Technology Management</w:t>
      </w:r>
    </w:p>
    <w:p>
      <w:pPr>
        <w:pStyle w:val="Author"/>
        <w:spacing w:before="0" w:after="0"/>
      </w:pPr>
      <w:r>
        <w:rPr>
          <w:i/>
          <w:sz w:val="18"/>
        </w:rPr>
        <w:t>and Engineering, NMIMS</w:t>
      </w:r>
    </w:p>
    <w:p>
      <w:pPr>
        <w:pStyle w:val="Author"/>
        <w:spacing w:before="0" w:after="0"/>
      </w:pPr>
      <w:r>
        <w:rPr>
          <w:sz w:val="18"/>
        </w:rPr>
        <w:t>Mumbai, India</w:t>
      </w:r>
    </w:p>
    <w:p>
      <w:pPr>
        <w:pStyle w:val="Author"/>
        <w:spacing w:before="0" w:after="0"/>
      </w:pPr>
      <w:r>
        <w:rPr>
          <w:color w:val="C00000"/>
          <w:sz w:val="18"/>
        </w:rPr>
        <w:t xml:space="preserve">[TODO: </w:t>
      </w:r>
      <w:r>
        <w:rPr>
          <w:color w:val="C00000"/>
          <w:sz w:val="18"/>
        </w:rPr>
        <w:t>email</w:t>
      </w:r>
      <w:r>
        <w:rPr>
          <w:color w:val="C00000"/>
          <w:sz w:val="18"/>
        </w:rPr>
        <w:t>]</w:t>
      </w:r>
    </w:p>
    <w:p>
      <w:pPr>
        <w:sectPr>
          <w:type w:val="continuous"/>
          <w:pgSz w:w="12240" w:h="15840"/>
          <w:pgMar w:top="1080" w:right="893" w:bottom="1440" w:left="893" w:header="720" w:footer="720" w:gutter="0"/>
          <w:cols w:space="216" w:num="4"/>
          <w:docGrid w:linePitch="360"/>
        </w:sectPr>
      </w:pPr>
    </w:p>
    <w:p>
      <w:pPr>
        <w:pStyle w:val="Abstract"/>
        <w:spacing w:before="120"/>
      </w:pPr>
      <w:r>
        <w:rPr>
          <w:i/>
        </w:rPr>
        <w:t>Abstract</w:t>
      </w:r>
      <w:r>
        <w:rPr/>
        <w:t>—</w:t>
      </w:r>
      <w:r>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(Explainable Decision Intelligence Assistant), a pipeline that extracts structured decision reasoning from transcripts with an open 7B language model and flags reasoning elements missing from the accompanying document, and we evaluate it on </w:t>
      </w:r>
      <w:r>
        <w:rPr>
          <w:i/>
        </w:rPr>
        <w:t>edia_db</w:t>
      </w:r>
      <w:r>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i/>
        </w:rPr>
        <w:t>did</w:t>
      </w:r>
      <w:r>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pStyle w:val="Keywords"/>
      </w:pPr>
      <w:r>
        <w:rPr/>
        <w:t>Keywords—</w:t>
      </w:r>
      <w:r>
        <w:rPr/>
        <w:t>meeting summarization, decision extraction, natural language inference, information extraction, multi-hop reasoning, evaluation</w:t>
      </w:r>
    </w:p>
    <w:p>
      <w:pPr>
        <w:pStyle w:val="Heading1"/>
      </w:pPr>
      <w:r>
        <w:rPr/>
        <w:t xml:space="preserve">I. </w:t>
      </w:r>
      <w:r>
        <w:rPr/>
        <w:t>Introduction</w:t>
      </w:r>
    </w:p>
    <w:p>
      <w:pPr>
        <w:pStyle w:val="BodyText"/>
      </w:pPr>
      <w:r>
        <w:rPr/>
        <w:t xml:space="preserve">Organisations record </w:t>
      </w:r>
      <w:r>
        <w:rPr>
          <w:i/>
        </w:rPr>
        <w:t>what</w:t>
      </w:r>
      <w:r>
        <w:rPr/>
        <w:t xml:space="preserve"> was decided far more reliably than </w:t>
      </w:r>
      <w:r>
        <w:rPr>
          <w:i/>
        </w:rPr>
        <w:t>why</w:t>
      </w:r>
      <w:r>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i/>
        </w:rPr>
        <w:t>decision-context gap</w:t>
      </w:r>
      <w:r>
        <w:rPr/>
        <w:t>.</w:t>
      </w:r>
    </w:p>
    <w:p>
      <w:pPr>
        <w:pStyle w:val="BodyText"/>
      </w:pPr>
      <w:r>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pStyle w:val="BodyText"/>
      </w:pPr>
      <w:r>
        <w:rPr/>
        <w:t>We make four contributions:</w:t>
      </w:r>
    </w:p>
    <w:p>
      <w:pPr>
        <w:pStyle w:val="bulletlist"/>
      </w:pPr>
      <w:r>
        <w:rPr>
          <w:b/>
        </w:rPr>
        <w:t>EDIA</w:t>
      </w:r>
      <w:r>
        <w:rPr/>
        <w:t xml:space="preserve"> (Explainable Decision Intelligence Assistant), an end-to-end pipeline for structured decision-reasoning extraction and gap detection, run entirely on open models.</w:t>
      </w:r>
    </w:p>
    <w:p>
      <w:pPr>
        <w:pStyle w:val="bulletlist"/>
      </w:pPr>
      <w:r>
        <w:rPr>
          <w:b/>
        </w:rPr>
        <w:t>edia_db</w:t>
      </w:r>
      <w:r>
        <w:rPr/>
        <w:t>, a three-tier benchmark (hand-labelled, NLI-labelled and constructed pairs) with explicit label provenance, designed so that detector comparisons are made where the class balance allows them to be meaningful.</w:t>
      </w:r>
    </w:p>
    <w:p>
      <w:pPr>
        <w:pStyle w:val="bulletlist"/>
      </w:pPr>
      <w:r>
        <w:rPr>
          <w:b/>
        </w:rPr>
        <w:t>A diagnosis</w:t>
      </w:r>
      <w:r>
        <w:rPr/>
        <w:t xml:space="preserve"> of the extraction ceiling through a manually annotated failure taxonomy, showing that multi-hop reasoning—not chunking, paraphrase or hallucination—dominates the residual misses.</w:t>
      </w:r>
    </w:p>
    <w:p>
      <w:pPr>
        <w:pStyle w:val="bulletlist"/>
      </w:pPr>
      <w:r>
        <w:rPr>
          <w:b/>
        </w:rPr>
        <w:t>A comparative analysis</w:t>
      </w:r>
      <w:r>
        <w:rPr/>
        <w:t xml:space="preserve"> showing that chain-of-thought prompting, GraphRAG and multi-hop retrieval each fail to break the ceiling for an identifiable reason.</w:t>
      </w:r>
    </w:p>
    <w:p>
      <w:pPr>
        <w:pStyle w:val="BodyText"/>
      </w:pPr>
      <w:r>
        <w:rPr/>
        <w:t xml:space="preserve">Our answer to the feasibility question is </w:t>
      </w:r>
      <w:r>
        <w:rPr>
          <w:i/>
        </w:rPr>
        <w:t>partially</w:t>
      </w:r>
      <w:r>
        <w:rPr/>
        <w:t>: the pipeline recovers between a third and well over half of the reasoning a human finds (33–58%, depending on how strictly a match is judged), and the remainder is precisely the reasoning that is hardest to locate.</w:t>
      </w:r>
    </w:p>
    <w:p>
      <w:pPr>
        <w:pStyle w:val="Heading1"/>
      </w:pPr>
      <w:r>
        <w:rPr/>
        <w:t xml:space="preserve">II. </w:t>
      </w:r>
      <w:r>
        <w:rPr/>
        <w:t>Background and Related Work</w:t>
      </w:r>
    </w:p>
    <w:p>
      <w:pPr>
        <w:pStyle w:val="BodyText"/>
      </w:pPr>
      <w:r>
        <w:rPr>
          <w:b/>
        </w:rPr>
        <w:t>Meeting corpora and summarization.</w:t>
      </w:r>
      <w:r>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pStyle w:val="BodyText"/>
      </w:pPr>
      <w:r>
        <w:rPr>
          <w:b/>
        </w:rPr>
        <w:t>Entailment for faithfulness.</w:t>
      </w:r>
      <w:r>
        <w:rPr/>
        <w:t xml:space="preserve"> Natural language inference (NLI) models trained on MNLI [4], such as RoBERTa-large [5], are widely used to test whether a summary is supported by its source, e.g. SummaC [6] and FactCC [7]. Gap detection inverts that direction: the question is whether a </w:t>
      </w:r>
      <w:r>
        <w:rPr>
          <w:i/>
        </w:rPr>
        <w:t>source</w:t>
      </w:r>
      <w:r>
        <w:rPr/>
        <w:t xml:space="preserve"> element is carried by a much shorter summary, which we find to be a poor fit for sentence-level NLI.</w:t>
      </w:r>
    </w:p>
    <w:p>
      <w:pPr>
        <w:pStyle w:val="BodyText"/>
      </w:pPr>
      <w:r>
        <w:rPr>
          <w:b/>
        </w:rPr>
        <w:t>LLMs as judges.</w:t>
      </w:r>
      <w:r>
        <w:rPr/>
        <w:t xml:space="preserve"> Using a language model to grade content is attractive but known to suffer from systematic biases [8]; we observe a severe instance.</w:t>
      </w:r>
    </w:p>
    <w:p>
      <w:pPr>
        <w:pStyle w:val="BodyText"/>
      </w:pPr>
      <w:r>
        <w:rPr>
          <w:b/>
        </w:rPr>
        <w:t>Retrieval and multi-hop reasoning.</w:t>
      </w:r>
      <w:r>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pStyle w:val="Heading1"/>
      </w:pPr>
      <w:r>
        <w:rPr/>
        <w:t xml:space="preserve">III. </w:t>
      </w:r>
      <w:r>
        <w:rPr/>
        <w:t>The EDIA Pipeline</w:t>
      </w:r>
    </w:p>
    <w:p>
      <w:pPr>
        <w:pStyle w:val="BodyText"/>
      </w:pPr>
      <w:r>
        <w:rPr/>
        <w:t>Fig. 1 summarises the pipeline: transcripts are chunked and passed to an extractor that emits structured decision records, whose reasoning elements are then checked against the filed document by a gap detector.</w:t>
      </w:r>
    </w:p>
    <w:p>
      <w:pPr>
        <w:keepNext/>
        <w:spacing w:before="120"/>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pStyle w:val="figurecaption"/>
        <w:spacing w:after="160"/>
      </w:pPr>
      <w:r>
        <w:rPr/>
        <w:t xml:space="preserve">Fig. 1. </w:t>
      </w:r>
      <w:r>
        <w:rPr/>
        <w:t>The EDIA pipeline. Grey: extraction stage; dashed: evaluation. In the benchmark, gap detectors are scored directly on labelled reasoning elements, and extraction is scored separately against hand-labelled ground truth.</w:t>
      </w:r>
    </w:p>
    <w:p>
      <w:pPr>
        <w:pStyle w:val="Heading2"/>
      </w:pPr>
      <w:r>
        <w:rPr/>
        <w:t xml:space="preserve">A. </w:t>
      </w:r>
      <w:r>
        <w:rPr/>
        <w:t>Schema and extraction</w:t>
      </w:r>
    </w:p>
    <w:p>
      <w:pPr>
        <w:pStyle w:val="BodyText"/>
      </w:pPr>
      <w:r>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t xml:space="preserve">, </w:t>
      </w:r>
      <w:r>
        <w:rPr/>
        <w:t>https://ollama.com</w:t>
      </w:r>
      <w:r>
        <w:rPr/>
        <w:t>) with a prompt that forbids inference beyond the excerpt and requires quotes to be copied character-for-character. Decoding settings are deterministic (temperature 0, top-</w:t>
      </w:r>
      <w:r>
        <w:rPr>
          <w:i/>
        </w:rPr>
        <w:t>k</w:t>
      </w:r>
      <w:r>
        <w:rPr/>
        <w:t xml:space="preserve"> 1, fixed seed, 8,192-token context, 2,048-token output cap) under JSON-constrained output; unparseable output triggers one repair call.</w:t>
      </w:r>
    </w:p>
    <w:p>
      <w:pPr>
        <w:pStyle w:val="Heading2"/>
      </w:pPr>
      <w:r>
        <w:rPr/>
        <w:t xml:space="preserve">B. </w:t>
      </w:r>
      <w:r>
        <w:rPr/>
        <w:t>Gap detection</w:t>
      </w:r>
    </w:p>
    <w:p>
      <w:pPr>
        <w:pStyle w:val="BodyText"/>
      </w:pPr>
      <w:r>
        <w:rPr/>
        <w:t xml:space="preserve">Given a document and a reasoning element, a detector returns a present-score in </w:t>
      </w:r>
      <w:r>
        <w:rPr/>
        <w:t>[0,1]</w:t>
      </w:r>
      <w:r>
        <w:rPr/>
        <w:t xml:space="preserve">; the element is predicted to be a gap if the score is below a threshold (0.55). We compare four detectors: (i) </w:t>
      </w:r>
      <w:r>
        <w:rPr>
          <w:i/>
        </w:rPr>
        <w:t>lexical</w:t>
      </w:r>
      <w:r>
        <w:rPr/>
        <w:t xml:space="preserve">, token-level F1 overlap with the document; (ii) </w:t>
      </w:r>
      <w:r>
        <w:rPr>
          <w:i/>
        </w:rPr>
        <w:t>NLI</w:t>
      </w:r>
      <w:r>
        <w:rPr/>
        <w:t xml:space="preserve">, the entailment probability of the element given the document under </w:t>
      </w:r>
      <w:r>
        <w:rPr>
          <w:rFonts w:ascii="Courier New" w:hAnsi="Courier New" w:eastAsia="Courier New"/>
        </w:rPr>
        <w:t>roberta-large-mnli</w:t>
      </w:r>
      <w:r>
        <w:rPr/>
        <w:t xml:space="preserve">; (iii) an </w:t>
      </w:r>
      <w:r>
        <w:rPr>
          <w:i/>
        </w:rPr>
        <w:t>LLM judge</w:t>
      </w:r>
      <w:r>
        <w:rPr/>
        <w:t xml:space="preserve">, Mistral 7B asked whether the substance of the element is present in the document, returning a verdict and confidence; and (iv) an </w:t>
      </w:r>
      <w:r>
        <w:rPr>
          <w:i/>
        </w:rPr>
        <w:t>ensemble</w:t>
      </w:r>
      <w:r>
        <w:rPr/>
        <w:t xml:space="preserve"> that shifts each member’s present-score by that member’s own threshold (so that 0.5 means “present” for every member) and takes the maximum, i.e. it calls an element present if any member does.</w:t>
      </w:r>
    </w:p>
    <w:p>
      <w:pPr>
        <w:pStyle w:val="Heading2"/>
      </w:pPr>
      <w:r>
        <w:rPr/>
        <w:t xml:space="preserve">C. </w:t>
      </w:r>
      <w:r>
        <w:rPr/>
        <w:t>Evaluation design</w:t>
      </w:r>
    </w:p>
    <w:p>
      <w:pPr>
        <w:pStyle w:val="BodyText"/>
      </w:pPr>
      <w:r>
        <w:rPr>
          <w:b/>
        </w:rPr>
        <w:t>The base-rate problem.</w:t>
      </w:r>
      <w:r>
        <w:rPr/>
        <w:t xml:space="preserve"> Most elements in real summaries are gaps: in the NLI-labelled QMSum tier the gap rate is 0.93, where a detector that answers “gap” to everything obtains a gap-class F1 of about 0.96. Gap F1 alone is therefore nearly uninformative. We report </w:t>
      </w:r>
      <w:r>
        <w:rPr>
          <w:i/>
        </w:rPr>
        <w:t>balanced accuracy</w:t>
      </w:r>
      <w:r>
        <w:rPr/>
        <w:t xml:space="preserve"> (the mean of gap and present recall, 0.5 for any constant detector) and </w:t>
      </w:r>
      <w:r>
        <w:rPr>
          <w:i/>
        </w:rPr>
        <w:t>present-class F1</w:t>
      </w:r>
      <w:r>
        <w:rPr/>
        <w:t xml:space="preserve"> beside every gap F1, and make detector comparisons on the class-balanced synthetic tier.</w:t>
      </w:r>
    </w:p>
    <w:p>
      <w:pPr>
        <w:pStyle w:val="BodyText"/>
      </w:pPr>
      <w:r>
        <w:rPr>
          <w:b/>
        </w:rPr>
        <w:t>Completeness.</w:t>
      </w:r>
      <w:r>
        <w:rPr/>
        <w:t xml:space="preserve"> Extraction is scored as the fraction of hand-labelled reasoning elements matched by some extracted element. Because correct extractions are often worded differently, we report two matchers and never one alone: </w:t>
      </w:r>
      <w:r>
        <w:rPr>
          <w:i/>
        </w:rPr>
        <w:t>lexical</w:t>
      </w:r>
      <w:r>
        <w:rPr/>
        <w:t xml:space="preserve"> (token F1 </w:t>
      </w:r>
      <w:r>
        <w:rPr/>
        <w:t>≥</w:t>
      </w:r>
      <w:r>
        <w:rPr/>
        <w:t xml:space="preserve"> 0.45) and </w:t>
      </w:r>
      <w:r>
        <w:rPr>
          <w:i/>
        </w:rPr>
        <w:t>semantic</w:t>
      </w:r>
      <w:r>
        <w:rPr/>
        <w:t xml:space="preserve"> (cosine similarity of all-MiniLM-L6-v2 sentence embeddings [14] </w:t>
      </w:r>
      <w:r>
        <w:rPr/>
        <w:t>≥</w:t>
      </w:r>
      <w:r>
        <w:rPr/>
        <w:t xml:space="preserve"> 0.55).</w:t>
      </w:r>
    </w:p>
    <w:p>
      <w:pPr>
        <w:pStyle w:val="BodyText"/>
      </w:pPr>
      <w:r>
        <w:rPr>
          <w:b/>
        </w:rPr>
        <w:t>Hallucination.</w:t>
      </w:r>
      <w:r>
        <w:rPr/>
        <w:t xml:space="preserve"> Each evidence quote is checked against its own source chunk after normalising case, punctuation and whitespace, and additionally ignoring transcription markers and filler words. The </w:t>
      </w:r>
      <w:r>
        <w:rPr>
          <w:i/>
        </w:rPr>
        <w:t>unsupported-quote rate</w:t>
      </w:r>
      <w:r>
        <w:rPr/>
        <w:t xml:space="preserve"> is the fraction of quotes not found under this check.</w:t>
      </w:r>
    </w:p>
    <w:p>
      <w:pPr>
        <w:pStyle w:val="Heading1"/>
      </w:pPr>
      <w:r>
        <w:rPr/>
        <w:t xml:space="preserve">IV. </w:t>
      </w:r>
      <w:r>
        <w:rPr/>
        <w:t>Dataset: edia_db</w:t>
      </w:r>
    </w:p>
    <w:p>
      <w:pPr>
        <w:pStyle w:val="BodyText"/>
      </w:pPr>
      <w:r>
        <w:rPr/>
        <w:t xml:space="preserve">Table I summarises the benchmark. Each pair contains a transcript, a short document, reasoning elements, and a per-element label: </w:t>
      </w:r>
      <w:r>
        <w:rPr>
          <w:i/>
        </w:rPr>
        <w:t>omitted</w:t>
      </w:r>
      <w:r>
        <w:rPr/>
        <w:t xml:space="preserve"> (a gap), </w:t>
      </w:r>
      <w:r>
        <w:rPr>
          <w:i/>
        </w:rPr>
        <w:t>verbatim</w:t>
      </w:r>
      <w:r>
        <w:rPr/>
        <w:t xml:space="preserve">, </w:t>
      </w:r>
      <w:r>
        <w:rPr>
          <w:i/>
        </w:rPr>
        <w:t>paraphrased</w:t>
      </w:r>
      <w:r>
        <w:rPr/>
        <w:t>, or present with unspecified wording.</w:t>
      </w:r>
    </w:p>
    <w:p>
      <w:pPr>
        <w:pStyle w:val="tablehead"/>
        <w:keepNext/>
        <w:spacing w:before="160" w:after="0"/>
      </w:pPr>
      <w:r>
        <w:rPr/>
        <w:t>TABLE I</w:t>
      </w:r>
    </w:p>
    <w:p>
      <w:pPr>
        <w:pStyle w:val="tablehead"/>
        <w:keepNext/>
        <w:spacing w:before="0" w:after="80"/>
      </w:pPr>
      <w:r>
        <w:rPr/>
        <w:t>The edia_db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385"/>
            <w:tcBorders>
              <w:top w:val="single" w:sz="8" w:color="000000"/>
              <w:left w:val="nil"/>
              <w:bottom w:val="single" w:sz="4" w:color="000000"/>
              <w:right w:val="nil"/>
            </w:tcBorders>
          </w:tcPr>
          <w:p>
            <w:pPr>
              <w:pStyle w:val="tablecopy"/>
              <w:keepNext/>
              <w:spacing w:before="20" w:after="20"/>
              <w:jc w:val="left"/>
            </w:pPr>
            <w:r>
              <w:rPr/>
              <w:t>Tier</w:t>
            </w:r>
          </w:p>
        </w:tc>
        <w:tc>
          <w:tcPr>
            <w:tcW w:type="dxa" w:w="652"/>
            <w:tcBorders>
              <w:top w:val="single" w:sz="8" w:color="000000"/>
              <w:left w:val="nil"/>
              <w:bottom w:val="single" w:sz="4" w:color="000000"/>
              <w:right w:val="nil"/>
            </w:tcBorders>
          </w:tcPr>
          <w:p>
            <w:pPr>
              <w:pStyle w:val="tablecopy"/>
              <w:keepNext/>
              <w:spacing w:before="20" w:after="20"/>
              <w:jc w:val="right"/>
            </w:pPr>
            <w:r>
              <w:rPr/>
              <w:t>Pairs</w:t>
            </w:r>
          </w:p>
        </w:tc>
        <w:tc>
          <w:tcPr>
            <w:tcW w:type="dxa" w:w="896"/>
            <w:tcBorders>
              <w:top w:val="single" w:sz="8" w:color="000000"/>
              <w:left w:val="nil"/>
              <w:bottom w:val="single" w:sz="4" w:color="000000"/>
              <w:right w:val="nil"/>
            </w:tcBorders>
          </w:tcPr>
          <w:p>
            <w:pPr>
              <w:pStyle w:val="tablecopy"/>
              <w:keepNext/>
              <w:spacing w:before="20" w:after="20"/>
              <w:jc w:val="right"/>
            </w:pPr>
            <w:r>
              <w:rPr/>
              <w:t>Elements</w:t>
            </w:r>
          </w:p>
        </w:tc>
        <w:tc>
          <w:tcPr>
            <w:tcW w:type="dxa" w:w="896"/>
            <w:tcBorders>
              <w:top w:val="single" w:sz="8" w:color="000000"/>
              <w:left w:val="nil"/>
              <w:bottom w:val="single" w:sz="4" w:color="000000"/>
              <w:right w:val="nil"/>
            </w:tcBorders>
          </w:tcPr>
          <w:p>
            <w:pPr>
              <w:pStyle w:val="tablecopy"/>
              <w:keepNext/>
              <w:spacing w:before="20" w:after="20"/>
              <w:jc w:val="right"/>
            </w:pPr>
            <w:r>
              <w:rPr/>
              <w:t>Gap rate</w:t>
            </w:r>
          </w:p>
        </w:tc>
        <w:tc>
          <w:tcPr>
            <w:tcW w:type="dxa" w:w="1140"/>
            <w:tcBorders>
              <w:top w:val="single" w:sz="8" w:color="000000"/>
              <w:left w:val="nil"/>
              <w:bottom w:val="single" w:sz="4" w:color="000000"/>
              <w:right w:val="nil"/>
            </w:tcBorders>
          </w:tcPr>
          <w:p>
            <w:pPr>
              <w:pStyle w:val="tablecopy"/>
              <w:keepNext/>
              <w:spacing w:before="20" w:after="20"/>
              <w:jc w:val="left"/>
            </w:pPr>
            <w:r>
              <w:rPr/>
              <w:t>Labels</w:t>
            </w:r>
          </w:p>
        </w:tc>
      </w:tr>
      <w:tr>
        <w:tc>
          <w:tcPr>
            <w:tcW w:type="dxa" w:w="1385"/>
            <w:tcBorders>
              <w:top w:val="nil"/>
              <w:left w:val="nil"/>
              <w:bottom w:val="nil"/>
              <w:right w:val="nil"/>
            </w:tcBorders>
          </w:tcPr>
          <w:p>
            <w:pPr>
              <w:pStyle w:val="tablecopy"/>
              <w:keepNext/>
              <w:spacing w:before="20" w:after="20"/>
              <w:jc w:val="left"/>
            </w:pPr>
            <w:r>
              <w:rPr/>
              <w:t>Gold (QMSum)</w:t>
            </w:r>
          </w:p>
        </w:tc>
        <w:tc>
          <w:tcPr>
            <w:tcW w:type="dxa" w:w="652"/>
            <w:tcBorders>
              <w:top w:val="nil"/>
              <w:left w:val="nil"/>
              <w:bottom w:val="nil"/>
              <w:right w:val="nil"/>
            </w:tcBorders>
          </w:tcPr>
          <w:p>
            <w:pPr>
              <w:pStyle w:val="tablecopy"/>
              <w:keepNext/>
              <w:spacing w:before="20" w:after="20"/>
              <w:jc w:val="right"/>
            </w:pPr>
            <w:r>
              <w:rPr/>
              <w:t>5</w:t>
            </w:r>
          </w:p>
        </w:tc>
        <w:tc>
          <w:tcPr>
            <w:tcW w:type="dxa" w:w="896"/>
            <w:tcBorders>
              <w:top w:val="nil"/>
              <w:left w:val="nil"/>
              <w:bottom w:val="nil"/>
              <w:right w:val="nil"/>
            </w:tcBorders>
          </w:tcPr>
          <w:p>
            <w:pPr>
              <w:pStyle w:val="tablecopy"/>
              <w:keepNext/>
              <w:spacing w:before="20" w:after="20"/>
              <w:jc w:val="right"/>
            </w:pPr>
            <w:r>
              <w:rPr/>
              <w:t>50</w:t>
            </w:r>
          </w:p>
        </w:tc>
        <w:tc>
          <w:tcPr>
            <w:tcW w:type="dxa" w:w="896"/>
            <w:tcBorders>
              <w:top w:val="nil"/>
              <w:left w:val="nil"/>
              <w:bottom w:val="nil"/>
              <w:right w:val="nil"/>
            </w:tcBorders>
          </w:tcPr>
          <w:p>
            <w:pPr>
              <w:pStyle w:val="tablecopy"/>
              <w:keepNext/>
              <w:spacing w:before="20" w:after="20"/>
              <w:jc w:val="right"/>
            </w:pPr>
            <w:r>
              <w:rPr/>
              <w:t>0.76</w:t>
            </w:r>
          </w:p>
        </w:tc>
        <w:tc>
          <w:tcPr>
            <w:tcW w:type="dxa" w:w="1140"/>
            <w:tcBorders>
              <w:top w:val="nil"/>
              <w:left w:val="nil"/>
              <w:bottom w:val="nil"/>
              <w:right w:val="nil"/>
            </w:tcBorders>
          </w:tcPr>
          <w:p>
            <w:pPr>
              <w:pStyle w:val="tablecopy"/>
              <w:keepNext/>
              <w:spacing w:before="20" w:after="20"/>
              <w:jc w:val="left"/>
            </w:pPr>
            <w:r>
              <w:rPr/>
              <w:t>human</w:t>
            </w:r>
          </w:p>
        </w:tc>
      </w:tr>
      <w:tr>
        <w:tc>
          <w:tcPr>
            <w:tcW w:type="dxa" w:w="1385"/>
            <w:tcBorders>
              <w:top w:val="nil"/>
              <w:left w:val="nil"/>
              <w:bottom w:val="nil"/>
              <w:right w:val="nil"/>
            </w:tcBorders>
          </w:tcPr>
          <w:p>
            <w:pPr>
              <w:pStyle w:val="tablecopy"/>
              <w:keepNext/>
              <w:spacing w:before="20" w:after="20"/>
              <w:jc w:val="left"/>
            </w:pPr>
            <w:r>
              <w:rPr/>
              <w:t>Corpus (QMSum)</w:t>
            </w:r>
          </w:p>
        </w:tc>
        <w:tc>
          <w:tcPr>
            <w:tcW w:type="dxa" w:w="652"/>
            <w:tcBorders>
              <w:top w:val="nil"/>
              <w:left w:val="nil"/>
              <w:bottom w:val="nil"/>
              <w:right w:val="nil"/>
            </w:tcBorders>
          </w:tcPr>
          <w:p>
            <w:pPr>
              <w:pStyle w:val="tablecopy"/>
              <w:keepNext/>
              <w:spacing w:before="20" w:after="20"/>
              <w:jc w:val="right"/>
            </w:pPr>
            <w:r>
              <w:rPr/>
              <w:t>227</w:t>
            </w:r>
          </w:p>
        </w:tc>
        <w:tc>
          <w:tcPr>
            <w:tcW w:type="dxa" w:w="896"/>
            <w:tcBorders>
              <w:top w:val="nil"/>
              <w:left w:val="nil"/>
              <w:bottom w:val="nil"/>
              <w:right w:val="nil"/>
            </w:tcBorders>
          </w:tcPr>
          <w:p>
            <w:pPr>
              <w:pStyle w:val="tablecopy"/>
              <w:keepNext/>
              <w:spacing w:before="20" w:after="20"/>
              <w:jc w:val="right"/>
            </w:pPr>
            <w:r>
              <w:rPr/>
              <w:t>4,930</w:t>
            </w:r>
          </w:p>
        </w:tc>
        <w:tc>
          <w:tcPr>
            <w:tcW w:type="dxa" w:w="896"/>
            <w:tcBorders>
              <w:top w:val="nil"/>
              <w:left w:val="nil"/>
              <w:bottom w:val="nil"/>
              <w:right w:val="nil"/>
            </w:tcBorders>
          </w:tcPr>
          <w:p>
            <w:pPr>
              <w:pStyle w:val="tablecopy"/>
              <w:keepNext/>
              <w:spacing w:before="20" w:after="20"/>
              <w:jc w:val="right"/>
            </w:pPr>
            <w:r>
              <w:rPr/>
              <w:t>0.93</w:t>
            </w:r>
          </w:p>
        </w:tc>
        <w:tc>
          <w:tcPr>
            <w:tcW w:type="dxa" w:w="1140"/>
            <w:tcBorders>
              <w:top w:val="nil"/>
              <w:left w:val="nil"/>
              <w:bottom w:val="nil"/>
              <w:right w:val="nil"/>
            </w:tcBorders>
          </w:tcPr>
          <w:p>
            <w:pPr>
              <w:pStyle w:val="tablecopy"/>
              <w:keepNext/>
              <w:spacing w:before="20" w:after="20"/>
              <w:jc w:val="left"/>
            </w:pPr>
            <w:r>
              <w:rPr/>
              <w:t>NLI @ 0.55</w:t>
            </w:r>
          </w:p>
        </w:tc>
      </w:tr>
      <w:tr>
        <w:tc>
          <w:tcPr>
            <w:tcW w:type="dxa" w:w="1385"/>
            <w:tcBorders>
              <w:top w:val="nil"/>
              <w:left w:val="nil"/>
              <w:bottom w:val="single" w:sz="4" w:color="000000"/>
              <w:right w:val="nil"/>
            </w:tcBorders>
          </w:tcPr>
          <w:p>
            <w:pPr>
              <w:pStyle w:val="tablecopy"/>
              <w:keepNext/>
              <w:spacing w:before="20" w:after="20"/>
              <w:jc w:val="left"/>
            </w:pPr>
            <w:r>
              <w:rPr/>
              <w:t>Synthetic</w:t>
            </w:r>
          </w:p>
        </w:tc>
        <w:tc>
          <w:tcPr>
            <w:tcW w:type="dxa" w:w="652"/>
            <w:tcBorders>
              <w:top w:val="nil"/>
              <w:left w:val="nil"/>
              <w:bottom w:val="single" w:sz="4" w:color="000000"/>
              <w:right w:val="nil"/>
            </w:tcBorders>
          </w:tcPr>
          <w:p>
            <w:pPr>
              <w:pStyle w:val="tablecopy"/>
              <w:keepNext/>
              <w:spacing w:before="20" w:after="20"/>
              <w:jc w:val="right"/>
            </w:pPr>
            <w:r>
              <w:rPr/>
              <w:t>139</w:t>
            </w:r>
          </w:p>
        </w:tc>
        <w:tc>
          <w:tcPr>
            <w:tcW w:type="dxa" w:w="896"/>
            <w:tcBorders>
              <w:top w:val="nil"/>
              <w:left w:val="nil"/>
              <w:bottom w:val="single" w:sz="4" w:color="000000"/>
              <w:right w:val="nil"/>
            </w:tcBorders>
          </w:tcPr>
          <w:p>
            <w:pPr>
              <w:pStyle w:val="tablecopy"/>
              <w:keepNext/>
              <w:spacing w:before="20" w:after="20"/>
              <w:jc w:val="right"/>
            </w:pPr>
            <w:r>
              <w:rPr/>
              <w:t>1,667</w:t>
            </w:r>
          </w:p>
        </w:tc>
        <w:tc>
          <w:tcPr>
            <w:tcW w:type="dxa" w:w="896"/>
            <w:tcBorders>
              <w:top w:val="nil"/>
              <w:left w:val="nil"/>
              <w:bottom w:val="single" w:sz="4" w:color="000000"/>
              <w:right w:val="nil"/>
            </w:tcBorders>
          </w:tcPr>
          <w:p>
            <w:pPr>
              <w:pStyle w:val="tablecopy"/>
              <w:keepNext/>
              <w:spacing w:before="20" w:after="20"/>
              <w:jc w:val="right"/>
            </w:pPr>
            <w:r>
              <w:rPr/>
              <w:t>0.59</w:t>
            </w:r>
          </w:p>
        </w:tc>
        <w:tc>
          <w:tcPr>
            <w:tcW w:type="dxa" w:w="1140"/>
            <w:tcBorders>
              <w:top w:val="nil"/>
              <w:left w:val="nil"/>
              <w:bottom w:val="single" w:sz="4" w:color="000000"/>
              <w:right w:val="nil"/>
            </w:tcBorders>
          </w:tcPr>
          <w:p>
            <w:pPr>
              <w:pStyle w:val="tablecopy"/>
              <w:keepNext/>
              <w:spacing w:before="20" w:after="20"/>
              <w:jc w:val="left"/>
            </w:pPr>
            <w:r>
              <w:rPr/>
              <w:t>constructed</w:t>
            </w:r>
          </w:p>
        </w:tc>
      </w:tr>
      <w:tr>
        <w:tc>
          <w:tcPr>
            <w:tcW w:type="dxa" w:w="1385"/>
            <w:tcBorders>
              <w:top w:val="nil"/>
              <w:left w:val="nil"/>
              <w:bottom w:val="single" w:sz="8" w:color="000000"/>
              <w:right w:val="nil"/>
            </w:tcBorders>
          </w:tcPr>
          <w:p>
            <w:pPr>
              <w:pStyle w:val="tablecopy"/>
              <w:spacing w:before="20" w:after="20"/>
              <w:jc w:val="left"/>
            </w:pPr>
            <w:r>
              <w:rPr/>
              <w:t>Total</w:t>
            </w:r>
          </w:p>
        </w:tc>
        <w:tc>
          <w:tcPr>
            <w:tcW w:type="dxa" w:w="652"/>
            <w:tcBorders>
              <w:top w:val="nil"/>
              <w:left w:val="nil"/>
              <w:bottom w:val="single" w:sz="8" w:color="000000"/>
              <w:right w:val="nil"/>
            </w:tcBorders>
          </w:tcPr>
          <w:p>
            <w:pPr>
              <w:pStyle w:val="tablecopy"/>
              <w:spacing w:before="20" w:after="20"/>
              <w:jc w:val="right"/>
            </w:pPr>
            <w:r>
              <w:rPr/>
              <w:t>371</w:t>
            </w:r>
          </w:p>
        </w:tc>
        <w:tc>
          <w:tcPr>
            <w:tcW w:type="dxa" w:w="896"/>
            <w:tcBorders>
              <w:top w:val="nil"/>
              <w:left w:val="nil"/>
              <w:bottom w:val="single" w:sz="8" w:color="000000"/>
              <w:right w:val="nil"/>
            </w:tcBorders>
          </w:tcPr>
          <w:p>
            <w:pPr>
              <w:pStyle w:val="tablecopy"/>
              <w:spacing w:before="20" w:after="20"/>
              <w:jc w:val="right"/>
            </w:pPr>
            <w:r>
              <w:rPr/>
              <w:t>6,647</w:t>
            </w:r>
          </w:p>
        </w:tc>
        <w:tc>
          <w:tcPr>
            <w:tcW w:type="dxa" w:w="896"/>
            <w:tcBorders>
              <w:top w:val="nil"/>
              <w:left w:val="nil"/>
              <w:bottom w:val="single" w:sz="8" w:color="000000"/>
              <w:right w:val="nil"/>
            </w:tcBorders>
          </w:tcPr>
          <w:p>
            <w:pPr>
              <w:pStyle w:val="tablecopy"/>
              <w:spacing w:before="20" w:after="20"/>
              <w:jc w:val="right"/>
            </w:pPr>
            <w:r>
              <w:rPr/>
              <w:t>0.84</w:t>
            </w:r>
          </w:p>
        </w:tc>
        <w:tc>
          <w:tcPr>
            <w:tcW w:type="dxa" w:w="1140"/>
            <w:tcBorders>
              <w:top w:val="nil"/>
              <w:left w:val="nil"/>
              <w:bottom w:val="single" w:sz="8" w:color="000000"/>
              <w:right w:val="nil"/>
            </w:tcBorders>
          </w:tcPr>
          <w:p>
            <w:pPr>
              <w:pStyle w:val="tablecopy"/>
              <w:spacing w:before="20" w:after="20"/>
              <w:jc w:val="left"/>
            </w:pPr>
          </w:p>
        </w:tc>
      </w:tr>
    </w:tbl>
    <w:p>
      <w:pPr>
        <w:spacing w:before="0" w:after="0" w:line="120" w:lineRule="exact"/>
      </w:pPr>
    </w:p>
    <w:p>
      <w:pPr>
        <w:pStyle w:val="BodyText"/>
      </w:pPr>
      <w:r>
        <w:rPr>
          <w:b/>
        </w:rPr>
        <w:t>Gold.</w:t>
      </w:r>
      <w:r>
        <w:rPr/>
        <w:t xml:space="preserve"> Five QMSum product-design meetings, hand-labelled against transcript spans. They are the trust anchor and the only meetings with reasoning ground truth for completeness scoring; with </w:t>
      </w:r>
      <w:r>
        <w:rPr>
          <w:i/>
        </w:rPr>
        <w:t>n</w:t>
      </w:r>
      <w:r>
        <w:rPr/>
        <w:t>=5</w:t>
      </w:r>
      <w:r>
        <w:rPr/>
        <w:t xml:space="preserve"> and one domain they are a fixture, not an accuracy estimate.</w:t>
      </w:r>
    </w:p>
    <w:p>
      <w:pPr>
        <w:pStyle w:val="BodyText"/>
      </w:pPr>
      <w:r>
        <w:rPr>
          <w:b/>
        </w:rPr>
        <w:t>Corpus.</w:t>
      </w:r>
      <w:r>
        <w:rPr/>
        <w:t xml:space="preserve"> All other 227 QMSum meetings (Academic 59, Committee 36, Product 132), with summaries split into 4,930 sentence-level elements labelled by the NLI detector at threshold 0.55, chosen on the gold pairs. These are </w:t>
      </w:r>
      <w:r>
        <w:rPr>
          <w:i/>
        </w:rPr>
        <w:t>silver</w:t>
      </w:r>
      <w:r>
        <w:rPr/>
        <w:t xml:space="preserve"> labels: scoring the NLI detector against them measures self-consistency, not accuracy, and we exclude that comparison.</w:t>
      </w:r>
    </w:p>
    <w:p>
      <w:pPr>
        <w:pStyle w:val="BodyText"/>
      </w:pPr>
      <w:r>
        <w:rPr>
          <w:b/>
        </w:rPr>
        <w:t>Human spot-check of the silver labels.</w:t>
      </w:r>
      <w:r>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pStyle w:val="BodyText"/>
      </w:pPr>
      <w:r>
        <w:rPr>
          <w:b/>
        </w:rPr>
        <w:t>Synthetic.</w:t>
      </w:r>
      <w:r>
        <w:rPr/>
        <w:t xml:space="preserve"> 139 pairs generated by Mistral 7B across 79 topics, covering 8 organisational domains and 10 decision archetypes. Labels are </w:t>
      </w:r>
      <w:r>
        <w:rPr>
          <w:i/>
        </w:rPr>
        <w:t>constructed</w:t>
      </w:r>
      <w:r>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pStyle w:val="Heading1"/>
      </w:pPr>
      <w:r>
        <w:rPr/>
        <w:t xml:space="preserve">V. </w:t>
      </w:r>
      <w:r>
        <w:rPr/>
        <w:t>Results: Gap Detection</w:t>
      </w:r>
    </w:p>
    <w:p>
      <w:pPr>
        <w:pStyle w:val="tablehead"/>
        <w:keepNext/>
        <w:spacing w:before="160" w:after="0"/>
      </w:pPr>
      <w:r>
        <w:rPr/>
        <w:t>TABLE II</w:t>
      </w:r>
    </w:p>
    <w:p>
      <w:pPr>
        <w:pStyle w:val="tablehead"/>
        <w:keepNext/>
        <w:spacing w:before="0" w:after="80"/>
      </w:pPr>
      <w:r>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2"/>
        <w:gridCol w:w="1742"/>
        <w:gridCol w:w="1742"/>
        <w:gridCol w:w="1742"/>
        <w:gridCol w:w="1742"/>
        <w:gridCol w:w="1742"/>
      </w:tblGrid>
      <w:tr>
        <w:tc>
          <w:tcPr>
            <w:tcW w:type="dxa" w:w="931"/>
            <w:tcBorders>
              <w:top w:val="single" w:sz="8" w:color="000000"/>
              <w:left w:val="nil"/>
              <w:bottom w:val="single" w:sz="4" w:color="000000"/>
              <w:right w:val="nil"/>
            </w:tcBorders>
          </w:tcPr>
          <w:p>
            <w:pPr>
              <w:pStyle w:val="tablecopy"/>
              <w:keepNext/>
              <w:spacing w:before="20" w:after="20"/>
              <w:jc w:val="left"/>
            </w:pPr>
            <w:r>
              <w:rPr/>
              <w:t>Detector</w:t>
            </w:r>
          </w:p>
        </w:tc>
        <w:tc>
          <w:tcPr>
            <w:tcW w:type="dxa" w:w="931"/>
            <w:tcBorders>
              <w:top w:val="single" w:sz="8" w:color="000000"/>
              <w:left w:val="nil"/>
              <w:bottom w:val="single" w:sz="4" w:color="000000"/>
              <w:right w:val="nil"/>
            </w:tcBorders>
          </w:tcPr>
          <w:p>
            <w:pPr>
              <w:pStyle w:val="tablecopy"/>
              <w:keepNext/>
              <w:spacing w:before="20" w:after="20"/>
              <w:jc w:val="left"/>
            </w:pPr>
            <w:r>
              <w:rPr/>
              <w:t>Tier</w:t>
            </w:r>
          </w:p>
        </w:tc>
        <w:tc>
          <w:tcPr>
            <w:tcW w:type="dxa" w:w="621"/>
            <w:tcBorders>
              <w:top w:val="single" w:sz="8" w:color="000000"/>
              <w:left w:val="nil"/>
              <w:bottom w:val="single" w:sz="4" w:color="000000"/>
              <w:right w:val="nil"/>
            </w:tcBorders>
          </w:tcPr>
          <w:p>
            <w:pPr>
              <w:pStyle w:val="tablecopy"/>
              <w:keepNext/>
              <w:spacing w:before="20" w:after="20"/>
              <w:jc w:val="right"/>
            </w:pPr>
            <w:r>
              <w:rPr>
                <w:i/>
              </w:rPr>
              <w:t>n</w:t>
            </w:r>
          </w:p>
        </w:tc>
        <w:tc>
          <w:tcPr>
            <w:tcW w:type="dxa" w:w="699"/>
            <w:tcBorders>
              <w:top w:val="single" w:sz="8" w:color="000000"/>
              <w:left w:val="nil"/>
              <w:bottom w:val="single" w:sz="4" w:color="000000"/>
              <w:right w:val="nil"/>
            </w:tcBorders>
          </w:tcPr>
          <w:p>
            <w:pPr>
              <w:pStyle w:val="tablecopy"/>
              <w:keepNext/>
              <w:spacing w:before="20" w:after="20"/>
              <w:jc w:val="right"/>
            </w:pPr>
            <w:r>
              <w:rPr/>
              <w:t>Gap F1</w:t>
            </w:r>
          </w:p>
        </w:tc>
        <w:tc>
          <w:tcPr>
            <w:tcW w:type="dxa" w:w="931"/>
            <w:tcBorders>
              <w:top w:val="single" w:sz="8" w:color="000000"/>
              <w:left w:val="nil"/>
              <w:bottom w:val="single" w:sz="4" w:color="000000"/>
              <w:right w:val="nil"/>
            </w:tcBorders>
          </w:tcPr>
          <w:p>
            <w:pPr>
              <w:pStyle w:val="tablecopy"/>
              <w:keepNext/>
              <w:spacing w:before="20" w:after="20"/>
              <w:jc w:val="right"/>
            </w:pPr>
            <w:r>
              <w:rPr/>
              <w:t>Bal. acc.</w:t>
            </w:r>
          </w:p>
        </w:tc>
        <w:tc>
          <w:tcPr>
            <w:tcW w:type="dxa" w:w="854"/>
            <w:tcBorders>
              <w:top w:val="single" w:sz="8" w:color="000000"/>
              <w:left w:val="nil"/>
              <w:bottom w:val="single" w:sz="4" w:color="000000"/>
              <w:right w:val="nil"/>
            </w:tcBorders>
          </w:tcPr>
          <w:p>
            <w:pPr>
              <w:pStyle w:val="tablecopy"/>
              <w:keepNext/>
              <w:spacing w:before="20" w:after="20"/>
              <w:jc w:val="right"/>
            </w:pPr>
            <w:r>
              <w:rPr/>
              <w:t>Pres. F1</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r>
              <w:rPr/>
              <w:t>gold</w:t>
            </w:r>
          </w:p>
        </w:tc>
        <w:tc>
          <w:tcPr>
            <w:tcW w:type="dxa" w:w="621"/>
            <w:tcBorders>
              <w:top w:val="nil"/>
              <w:left w:val="nil"/>
              <w:bottom w:val="nil"/>
              <w:right w:val="nil"/>
            </w:tcBorders>
          </w:tcPr>
          <w:p>
            <w:pPr>
              <w:pStyle w:val="tablecopy"/>
              <w:keepNext/>
              <w:spacing w:before="20" w:after="20"/>
              <w:jc w:val="right"/>
            </w:pPr>
            <w:r>
              <w:rPr/>
              <w:t>50</w:t>
            </w:r>
          </w:p>
        </w:tc>
        <w:tc>
          <w:tcPr>
            <w:tcW w:type="dxa" w:w="699"/>
            <w:tcBorders>
              <w:top w:val="nil"/>
              <w:left w:val="nil"/>
              <w:bottom w:val="nil"/>
              <w:right w:val="nil"/>
            </w:tcBorders>
          </w:tcPr>
          <w:p>
            <w:pPr>
              <w:pStyle w:val="tablecopy"/>
              <w:keepNext/>
              <w:spacing w:before="20" w:after="20"/>
              <w:jc w:val="right"/>
            </w:pPr>
            <w:r>
              <w:rPr/>
              <w:t>0.861</w:t>
            </w:r>
          </w:p>
        </w:tc>
        <w:tc>
          <w:tcPr>
            <w:tcW w:type="dxa" w:w="931"/>
            <w:tcBorders>
              <w:top w:val="nil"/>
              <w:left w:val="nil"/>
              <w:bottom w:val="nil"/>
              <w:right w:val="nil"/>
            </w:tcBorders>
          </w:tcPr>
          <w:p>
            <w:pPr>
              <w:pStyle w:val="tablecopy"/>
              <w:keepNext/>
              <w:spacing w:before="20" w:after="20"/>
              <w:jc w:val="right"/>
            </w:pPr>
            <w:r>
              <w:rPr/>
              <w:t>0.656</w:t>
            </w:r>
          </w:p>
        </w:tc>
        <w:tc>
          <w:tcPr>
            <w:tcW w:type="dxa" w:w="854"/>
            <w:tcBorders>
              <w:top w:val="nil"/>
              <w:left w:val="nil"/>
              <w:bottom w:val="nil"/>
              <w:right w:val="nil"/>
            </w:tcBorders>
          </w:tcPr>
          <w:p>
            <w:pPr>
              <w:pStyle w:val="tablecopy"/>
              <w:keepNext/>
              <w:spacing w:before="20" w:after="20"/>
              <w:jc w:val="right"/>
            </w:pPr>
            <w:r>
              <w:rPr/>
              <w:t>0.476</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r>
              <w:rPr/>
              <w:t>synthetic</w:t>
            </w:r>
          </w:p>
        </w:tc>
        <w:tc>
          <w:tcPr>
            <w:tcW w:type="dxa" w:w="621"/>
            <w:tcBorders>
              <w:top w:val="nil"/>
              <w:left w:val="nil"/>
              <w:bottom w:val="nil"/>
              <w:right w:val="nil"/>
            </w:tcBorders>
          </w:tcPr>
          <w:p>
            <w:pPr>
              <w:pStyle w:val="tablecopy"/>
              <w:keepNext/>
              <w:spacing w:before="20" w:after="20"/>
              <w:jc w:val="right"/>
            </w:pPr>
            <w:r>
              <w:rPr/>
              <w:t>1,667</w:t>
            </w:r>
          </w:p>
        </w:tc>
        <w:tc>
          <w:tcPr>
            <w:tcW w:type="dxa" w:w="699"/>
            <w:tcBorders>
              <w:top w:val="nil"/>
              <w:left w:val="nil"/>
              <w:bottom w:val="nil"/>
              <w:right w:val="nil"/>
            </w:tcBorders>
          </w:tcPr>
          <w:p>
            <w:pPr>
              <w:pStyle w:val="tablecopy"/>
              <w:keepNext/>
              <w:spacing w:before="20" w:after="20"/>
              <w:jc w:val="right"/>
            </w:pPr>
            <w:r>
              <w:rPr/>
              <w:t>0.771</w:t>
            </w:r>
          </w:p>
        </w:tc>
        <w:tc>
          <w:tcPr>
            <w:tcW w:type="dxa" w:w="931"/>
            <w:tcBorders>
              <w:top w:val="nil"/>
              <w:left w:val="nil"/>
              <w:bottom w:val="nil"/>
              <w:right w:val="nil"/>
            </w:tcBorders>
          </w:tcPr>
          <w:p>
            <w:pPr>
              <w:pStyle w:val="tablecopy"/>
              <w:keepNext/>
              <w:spacing w:before="20" w:after="20"/>
              <w:jc w:val="right"/>
            </w:pPr>
            <w:r>
              <w:rPr/>
              <w:t>0.629</w:t>
            </w:r>
          </w:p>
        </w:tc>
        <w:tc>
          <w:tcPr>
            <w:tcW w:type="dxa" w:w="854"/>
            <w:tcBorders>
              <w:top w:val="nil"/>
              <w:left w:val="nil"/>
              <w:bottom w:val="nil"/>
              <w:right w:val="nil"/>
            </w:tcBorders>
          </w:tcPr>
          <w:p>
            <w:pPr>
              <w:pStyle w:val="tablecopy"/>
              <w:keepNext/>
              <w:spacing w:before="20" w:after="20"/>
              <w:jc w:val="right"/>
            </w:pPr>
            <w:r>
              <w:rPr/>
              <w:t>0.468</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r>
              <w:rPr/>
              <w:t>gold</w:t>
            </w:r>
          </w:p>
        </w:tc>
        <w:tc>
          <w:tcPr>
            <w:tcW w:type="dxa" w:w="621"/>
            <w:tcBorders>
              <w:top w:val="nil"/>
              <w:left w:val="nil"/>
              <w:bottom w:val="nil"/>
              <w:right w:val="nil"/>
            </w:tcBorders>
          </w:tcPr>
          <w:p>
            <w:pPr>
              <w:pStyle w:val="tablecopy"/>
              <w:keepNext/>
              <w:spacing w:before="20" w:after="20"/>
              <w:jc w:val="right"/>
            </w:pPr>
            <w:r>
              <w:rPr/>
              <w:t>50</w:t>
            </w:r>
          </w:p>
        </w:tc>
        <w:tc>
          <w:tcPr>
            <w:tcW w:type="dxa" w:w="699"/>
            <w:tcBorders>
              <w:top w:val="nil"/>
              <w:left w:val="nil"/>
              <w:bottom w:val="nil"/>
              <w:right w:val="nil"/>
            </w:tcBorders>
          </w:tcPr>
          <w:p>
            <w:pPr>
              <w:pStyle w:val="tablecopy"/>
              <w:keepNext/>
              <w:spacing w:before="20" w:after="20"/>
              <w:jc w:val="right"/>
            </w:pPr>
            <w:r>
              <w:rPr/>
              <w:t>0.884</w:t>
            </w:r>
          </w:p>
        </w:tc>
        <w:tc>
          <w:tcPr>
            <w:tcW w:type="dxa" w:w="931"/>
            <w:tcBorders>
              <w:top w:val="nil"/>
              <w:left w:val="nil"/>
              <w:bottom w:val="nil"/>
              <w:right w:val="nil"/>
            </w:tcBorders>
          </w:tcPr>
          <w:p>
            <w:pPr>
              <w:pStyle w:val="tablecopy"/>
              <w:keepNext/>
              <w:spacing w:before="20" w:after="20"/>
              <w:jc w:val="right"/>
            </w:pPr>
            <w:r>
              <w:rPr/>
              <w:t>0.583</w:t>
            </w:r>
          </w:p>
        </w:tc>
        <w:tc>
          <w:tcPr>
            <w:tcW w:type="dxa" w:w="854"/>
            <w:tcBorders>
              <w:top w:val="nil"/>
              <w:left w:val="nil"/>
              <w:bottom w:val="nil"/>
              <w:right w:val="nil"/>
            </w:tcBorders>
          </w:tcPr>
          <w:p>
            <w:pPr>
              <w:pStyle w:val="tablecopy"/>
              <w:keepNext/>
              <w:spacing w:before="20" w:after="20"/>
              <w:jc w:val="right"/>
            </w:pPr>
            <w:r>
              <w:rPr/>
              <w:t>0.286</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r>
              <w:rPr/>
              <w:t>synthetic</w:t>
            </w:r>
          </w:p>
        </w:tc>
        <w:tc>
          <w:tcPr>
            <w:tcW w:type="dxa" w:w="621"/>
            <w:tcBorders>
              <w:top w:val="nil"/>
              <w:left w:val="nil"/>
              <w:bottom w:val="nil"/>
              <w:right w:val="nil"/>
            </w:tcBorders>
          </w:tcPr>
          <w:p>
            <w:pPr>
              <w:pStyle w:val="tablecopy"/>
              <w:keepNext/>
              <w:spacing w:before="20" w:after="20"/>
              <w:jc w:val="right"/>
            </w:pPr>
            <w:r>
              <w:rPr/>
              <w:t>1,667</w:t>
            </w:r>
          </w:p>
        </w:tc>
        <w:tc>
          <w:tcPr>
            <w:tcW w:type="dxa" w:w="699"/>
            <w:tcBorders>
              <w:top w:val="nil"/>
              <w:left w:val="nil"/>
              <w:bottom w:val="nil"/>
              <w:right w:val="nil"/>
            </w:tcBorders>
          </w:tcPr>
          <w:p>
            <w:pPr>
              <w:pStyle w:val="tablecopy"/>
              <w:keepNext/>
              <w:spacing w:before="20" w:after="20"/>
              <w:jc w:val="right"/>
            </w:pPr>
            <w:r>
              <w:rPr/>
              <w:t>0.857</w:t>
            </w:r>
          </w:p>
        </w:tc>
        <w:tc>
          <w:tcPr>
            <w:tcW w:type="dxa" w:w="931"/>
            <w:tcBorders>
              <w:top w:val="nil"/>
              <w:left w:val="nil"/>
              <w:bottom w:val="nil"/>
              <w:right w:val="nil"/>
            </w:tcBorders>
          </w:tcPr>
          <w:p>
            <w:pPr>
              <w:pStyle w:val="tablecopy"/>
              <w:keepNext/>
              <w:spacing w:before="20" w:after="20"/>
              <w:jc w:val="right"/>
            </w:pPr>
            <w:r>
              <w:rPr>
                <w:b/>
              </w:rPr>
              <w:t>0.775</w:t>
            </w:r>
          </w:p>
        </w:tc>
        <w:tc>
          <w:tcPr>
            <w:tcW w:type="dxa" w:w="854"/>
            <w:tcBorders>
              <w:top w:val="nil"/>
              <w:left w:val="nil"/>
              <w:bottom w:val="nil"/>
              <w:right w:val="nil"/>
            </w:tcBorders>
          </w:tcPr>
          <w:p>
            <w:pPr>
              <w:pStyle w:val="tablecopy"/>
              <w:keepNext/>
              <w:spacing w:before="20" w:after="20"/>
              <w:jc w:val="right"/>
            </w:pPr>
            <w:r>
              <w:rPr>
                <w:b/>
              </w:rPr>
              <w:t>0.715</w:t>
            </w:r>
          </w:p>
        </w:tc>
      </w:tr>
      <w:tr>
        <w:tc>
          <w:tcPr>
            <w:tcW w:type="dxa" w:w="931"/>
            <w:tcBorders>
              <w:top w:val="nil"/>
              <w:left w:val="nil"/>
              <w:bottom w:val="single" w:sz="4" w:color="000000"/>
              <w:right w:val="nil"/>
            </w:tcBorders>
          </w:tcPr>
          <w:p>
            <w:pPr>
              <w:pStyle w:val="tablecopy"/>
              <w:keepNext/>
              <w:spacing w:before="20" w:after="20"/>
              <w:jc w:val="left"/>
            </w:pPr>
            <w:r>
              <w:rPr/>
              <w:t>Lexical</w:t>
            </w:r>
          </w:p>
        </w:tc>
        <w:tc>
          <w:tcPr>
            <w:tcW w:type="dxa" w:w="931"/>
            <w:tcBorders>
              <w:top w:val="nil"/>
              <w:left w:val="nil"/>
              <w:bottom w:val="single" w:sz="4" w:color="000000"/>
              <w:right w:val="nil"/>
            </w:tcBorders>
          </w:tcPr>
          <w:p>
            <w:pPr>
              <w:pStyle w:val="tablecopy"/>
              <w:keepNext/>
              <w:spacing w:before="20" w:after="20"/>
              <w:jc w:val="left"/>
            </w:pPr>
            <w:r>
              <w:rPr/>
              <w:t>corpus</w:t>
            </w:r>
          </w:p>
        </w:tc>
        <w:tc>
          <w:tcPr>
            <w:tcW w:type="dxa" w:w="621"/>
            <w:tcBorders>
              <w:top w:val="nil"/>
              <w:left w:val="nil"/>
              <w:bottom w:val="single" w:sz="4" w:color="000000"/>
              <w:right w:val="nil"/>
            </w:tcBorders>
          </w:tcPr>
          <w:p>
            <w:pPr>
              <w:pStyle w:val="tablecopy"/>
              <w:keepNext/>
              <w:spacing w:before="20" w:after="20"/>
              <w:jc w:val="right"/>
            </w:pPr>
            <w:r>
              <w:rPr/>
              <w:t>4,930</w:t>
            </w:r>
          </w:p>
        </w:tc>
        <w:tc>
          <w:tcPr>
            <w:tcW w:type="dxa" w:w="699"/>
            <w:tcBorders>
              <w:top w:val="nil"/>
              <w:left w:val="nil"/>
              <w:bottom w:val="single" w:sz="4" w:color="000000"/>
              <w:right w:val="nil"/>
            </w:tcBorders>
          </w:tcPr>
          <w:p>
            <w:pPr>
              <w:pStyle w:val="tablecopy"/>
              <w:keepNext/>
              <w:spacing w:before="20" w:after="20"/>
              <w:jc w:val="right"/>
            </w:pPr>
            <w:r>
              <w:rPr/>
              <w:t>0.970</w:t>
            </w:r>
          </w:p>
        </w:tc>
        <w:tc>
          <w:tcPr>
            <w:tcW w:type="dxa" w:w="931"/>
            <w:tcBorders>
              <w:top w:val="nil"/>
              <w:left w:val="nil"/>
              <w:bottom w:val="single" w:sz="4" w:color="000000"/>
              <w:right w:val="nil"/>
            </w:tcBorders>
          </w:tcPr>
          <w:p>
            <w:pPr>
              <w:pStyle w:val="tablecopy"/>
              <w:keepNext/>
              <w:spacing w:before="20" w:after="20"/>
              <w:jc w:val="right"/>
            </w:pPr>
            <w:r>
              <w:rPr/>
              <w:t>0.669</w:t>
            </w:r>
          </w:p>
        </w:tc>
        <w:tc>
          <w:tcPr>
            <w:tcW w:type="dxa" w:w="854"/>
            <w:tcBorders>
              <w:top w:val="nil"/>
              <w:left w:val="nil"/>
              <w:bottom w:val="single" w:sz="4" w:color="000000"/>
              <w:right w:val="nil"/>
            </w:tcBorders>
          </w:tcPr>
          <w:p>
            <w:pPr>
              <w:pStyle w:val="tablecopy"/>
              <w:keepNext/>
              <w:spacing w:before="20" w:after="20"/>
              <w:jc w:val="right"/>
            </w:pPr>
            <w:r>
              <w:rPr/>
              <w:t>0.457</w:t>
            </w:r>
          </w:p>
        </w:tc>
      </w:tr>
      <w:tr>
        <w:tc>
          <w:tcPr>
            <w:tcW w:type="dxa" w:w="854"/>
            <w:gridSpan w:val="6"/>
            <w:tcBorders>
              <w:top w:val="nil"/>
              <w:left w:val="nil"/>
              <w:bottom w:val="nil"/>
              <w:right w:val="nil"/>
            </w:tcBorders>
          </w:tcPr>
          <w:p>
            <w:pPr>
              <w:pStyle w:val="tablecopy"/>
              <w:keepNext/>
              <w:spacing w:before="20" w:after="20"/>
              <w:jc w:val="left"/>
            </w:pPr>
            <w:r>
              <w:rPr>
                <w:i/>
              </w:rPr>
              <w:t>Same stratified sample, gold + synthetic (</w:t>
            </w:r>
            <w:r>
              <w:rPr>
                <w:i/>
              </w:rPr>
              <w:t>n</w:t>
            </w:r>
            <w:r>
              <w:rPr>
                <w:i/>
              </w:rPr>
              <w:t>=200</w:t>
            </w:r>
            <w:r>
              <w:rPr>
                <w:i/>
              </w:rPr>
              <w:t>)</w:t>
            </w:r>
          </w:p>
        </w:tc>
      </w:tr>
      <w:tr>
        <w:tc>
          <w:tcPr>
            <w:tcW w:type="dxa" w:w="931"/>
            <w:tcBorders>
              <w:top w:val="nil"/>
              <w:left w:val="nil"/>
              <w:bottom w:val="nil"/>
              <w:right w:val="nil"/>
            </w:tcBorders>
          </w:tcPr>
          <w:p>
            <w:pPr>
              <w:pStyle w:val="tablecopy"/>
              <w:keepNext/>
              <w:spacing w:before="20" w:after="20"/>
              <w:jc w:val="left"/>
            </w:pPr>
            <w:r>
              <w:rPr/>
              <w:t>NLI</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t>0.611</w:t>
            </w:r>
          </w:p>
        </w:tc>
        <w:tc>
          <w:tcPr>
            <w:tcW w:type="dxa" w:w="854"/>
            <w:tcBorders>
              <w:top w:val="nil"/>
              <w:left w:val="nil"/>
              <w:bottom w:val="nil"/>
              <w:right w:val="nil"/>
            </w:tcBorders>
          </w:tcPr>
          <w:p>
            <w:pPr>
              <w:pStyle w:val="tablecopy"/>
              <w:keepNext/>
              <w:spacing w:before="20" w:after="20"/>
              <w:jc w:val="right"/>
            </w:pPr>
            <w:r>
              <w:rPr/>
              <w:t>0.432</w:t>
            </w:r>
          </w:p>
        </w:tc>
      </w:tr>
      <w:tr>
        <w:tc>
          <w:tcPr>
            <w:tcW w:type="dxa" w:w="931"/>
            <w:tcBorders>
              <w:top w:val="nil"/>
              <w:left w:val="nil"/>
              <w:bottom w:val="nil"/>
              <w:right w:val="nil"/>
            </w:tcBorders>
          </w:tcPr>
          <w:p>
            <w:pPr>
              <w:pStyle w:val="tablecopy"/>
              <w:keepNext/>
              <w:spacing w:before="20" w:after="20"/>
              <w:jc w:val="left"/>
            </w:pPr>
            <w:r>
              <w:rPr/>
              <w:t>Lexical</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b/>
              </w:rPr>
              <w:t>0.728</w:t>
            </w:r>
          </w:p>
        </w:tc>
        <w:tc>
          <w:tcPr>
            <w:tcW w:type="dxa" w:w="854"/>
            <w:tcBorders>
              <w:top w:val="nil"/>
              <w:left w:val="nil"/>
              <w:bottom w:val="nil"/>
              <w:right w:val="nil"/>
            </w:tcBorders>
          </w:tcPr>
          <w:p>
            <w:pPr>
              <w:pStyle w:val="tablecopy"/>
              <w:keepNext/>
              <w:spacing w:before="20" w:after="20"/>
              <w:jc w:val="right"/>
            </w:pPr>
            <w:r>
              <w:rPr>
                <w:b/>
              </w:rPr>
              <w:t>0.637</w:t>
            </w:r>
          </w:p>
        </w:tc>
      </w:tr>
      <w:tr>
        <w:tc>
          <w:tcPr>
            <w:tcW w:type="dxa" w:w="931"/>
            <w:tcBorders>
              <w:top w:val="nil"/>
              <w:left w:val="nil"/>
              <w:bottom w:val="nil"/>
              <w:right w:val="nil"/>
            </w:tcBorders>
          </w:tcPr>
          <w:p>
            <w:pPr>
              <w:pStyle w:val="tablecopy"/>
              <w:keepNext/>
              <w:spacing w:before="20" w:after="20"/>
              <w:jc w:val="left"/>
            </w:pPr>
            <w:r>
              <w:rPr/>
              <w:t>LLM judge</w:t>
            </w:r>
          </w:p>
        </w:tc>
        <w:tc>
          <w:tcPr>
            <w:tcW w:type="dxa" w:w="931"/>
            <w:tcBorders>
              <w:top w:val="nil"/>
              <w:left w:val="nil"/>
              <w:bottom w:val="nil"/>
              <w:right w:val="nil"/>
            </w:tcBorders>
          </w:tcPr>
          <w:p>
            <w:pPr>
              <w:pStyle w:val="tablecopy"/>
              <w:keepNext/>
              <w:spacing w:before="20" w:after="20"/>
              <w:jc w:val="left"/>
            </w:pPr>
          </w:p>
        </w:tc>
        <w:tc>
          <w:tcPr>
            <w:tcW w:type="dxa" w:w="621"/>
            <w:tcBorders>
              <w:top w:val="nil"/>
              <w:left w:val="nil"/>
              <w:bottom w:val="nil"/>
              <w:right w:val="nil"/>
            </w:tcBorders>
          </w:tcPr>
          <w:p>
            <w:pPr>
              <w:pStyle w:val="tablecopy"/>
              <w:keepNext/>
              <w:spacing w:before="20" w:after="20"/>
              <w:jc w:val="right"/>
            </w:pPr>
            <w:r>
              <w:rPr/>
              <w:t>200</w:t>
            </w:r>
          </w:p>
        </w:tc>
        <w:tc>
          <w:tcPr>
            <w:tcW w:type="dxa" w:w="699"/>
            <w:tcBorders>
              <w:top w:val="nil"/>
              <w:left w:val="nil"/>
              <w:bottom w:val="nil"/>
              <w:right w:val="nil"/>
            </w:tcBorders>
          </w:tcPr>
          <w:p>
            <w:pPr>
              <w:pStyle w:val="tablecopy"/>
              <w:keepNext/>
              <w:spacing w:before="20" w:after="20"/>
              <w:jc w:val="right"/>
            </w:pPr>
            <w:r>
              <w:rPr/>
              <w:t>–</w:t>
            </w:r>
          </w:p>
        </w:tc>
        <w:tc>
          <w:tcPr>
            <w:tcW w:type="dxa" w:w="931"/>
            <w:tcBorders>
              <w:top w:val="nil"/>
              <w:left w:val="nil"/>
              <w:bottom w:val="nil"/>
              <w:right w:val="nil"/>
            </w:tcBorders>
          </w:tcPr>
          <w:p>
            <w:pPr>
              <w:pStyle w:val="tablecopy"/>
              <w:keepNext/>
              <w:spacing w:before="20" w:after="20"/>
              <w:jc w:val="right"/>
            </w:pPr>
            <w:r>
              <w:rPr/>
              <w:t>0.492</w:t>
            </w:r>
          </w:p>
        </w:tc>
        <w:tc>
          <w:tcPr>
            <w:tcW w:type="dxa" w:w="854"/>
            <w:tcBorders>
              <w:top w:val="nil"/>
              <w:left w:val="nil"/>
              <w:bottom w:val="nil"/>
              <w:right w:val="nil"/>
            </w:tcBorders>
          </w:tcPr>
          <w:p>
            <w:pPr>
              <w:pStyle w:val="tablecopy"/>
              <w:keepNext/>
              <w:spacing w:before="20" w:after="20"/>
              <w:jc w:val="right"/>
            </w:pPr>
            <w:r>
              <w:rPr/>
              <w:t>0.596</w:t>
            </w:r>
          </w:p>
        </w:tc>
      </w:tr>
      <w:tr>
        <w:tc>
          <w:tcPr>
            <w:tcW w:type="dxa" w:w="931"/>
            <w:tcBorders>
              <w:top w:val="nil"/>
              <w:left w:val="nil"/>
              <w:bottom w:val="single" w:sz="8" w:color="000000"/>
              <w:right w:val="nil"/>
            </w:tcBorders>
          </w:tcPr>
          <w:p>
            <w:pPr>
              <w:pStyle w:val="tablecopy"/>
              <w:spacing w:before="20" w:after="20"/>
              <w:jc w:val="left"/>
            </w:pPr>
            <w:r>
              <w:rPr/>
              <w:t>Ensemble</w:t>
            </w:r>
          </w:p>
        </w:tc>
        <w:tc>
          <w:tcPr>
            <w:tcW w:type="dxa" w:w="931"/>
            <w:tcBorders>
              <w:top w:val="nil"/>
              <w:left w:val="nil"/>
              <w:bottom w:val="single" w:sz="8" w:color="000000"/>
              <w:right w:val="nil"/>
            </w:tcBorders>
          </w:tcPr>
          <w:p>
            <w:pPr>
              <w:pStyle w:val="tablecopy"/>
              <w:spacing w:before="20" w:after="20"/>
              <w:jc w:val="left"/>
            </w:pPr>
          </w:p>
        </w:tc>
        <w:tc>
          <w:tcPr>
            <w:tcW w:type="dxa" w:w="621"/>
            <w:tcBorders>
              <w:top w:val="nil"/>
              <w:left w:val="nil"/>
              <w:bottom w:val="single" w:sz="8" w:color="000000"/>
              <w:right w:val="nil"/>
            </w:tcBorders>
          </w:tcPr>
          <w:p>
            <w:pPr>
              <w:pStyle w:val="tablecopy"/>
              <w:spacing w:before="20" w:after="20"/>
              <w:jc w:val="right"/>
            </w:pPr>
            <w:r>
              <w:rPr/>
              <w:t>200</w:t>
            </w:r>
          </w:p>
        </w:tc>
        <w:tc>
          <w:tcPr>
            <w:tcW w:type="dxa" w:w="699"/>
            <w:tcBorders>
              <w:top w:val="nil"/>
              <w:left w:val="nil"/>
              <w:bottom w:val="single" w:sz="8" w:color="000000"/>
              <w:right w:val="nil"/>
            </w:tcBorders>
          </w:tcPr>
          <w:p>
            <w:pPr>
              <w:pStyle w:val="tablecopy"/>
              <w:spacing w:before="20" w:after="20"/>
              <w:jc w:val="right"/>
            </w:pPr>
            <w:r>
              <w:rPr/>
              <w:t>–</w:t>
            </w:r>
          </w:p>
        </w:tc>
        <w:tc>
          <w:tcPr>
            <w:tcW w:type="dxa" w:w="931"/>
            <w:tcBorders>
              <w:top w:val="nil"/>
              <w:left w:val="nil"/>
              <w:bottom w:val="single" w:sz="8" w:color="000000"/>
              <w:right w:val="nil"/>
            </w:tcBorders>
          </w:tcPr>
          <w:p>
            <w:pPr>
              <w:pStyle w:val="tablecopy"/>
              <w:spacing w:before="20" w:after="20"/>
              <w:jc w:val="right"/>
            </w:pPr>
            <w:r>
              <w:rPr/>
              <w:t>0.521</w:t>
            </w:r>
          </w:p>
        </w:tc>
        <w:tc>
          <w:tcPr>
            <w:tcW w:type="dxa" w:w="854"/>
            <w:tcBorders>
              <w:top w:val="nil"/>
              <w:left w:val="nil"/>
              <w:bottom w:val="single" w:sz="8" w:color="000000"/>
              <w:right w:val="nil"/>
            </w:tcBorders>
          </w:tcPr>
          <w:p>
            <w:pPr>
              <w:pStyle w:val="tablecopy"/>
              <w:spacing w:before="20" w:after="20"/>
              <w:jc w:val="right"/>
            </w:pPr>
            <w:r>
              <w:rPr/>
              <w:t>0.624</w:t>
            </w:r>
          </w:p>
        </w:tc>
      </w:tr>
    </w:tbl>
    <w:p>
      <w:pPr>
        <w:spacing w:before="0" w:after="0" w:line="120" w:lineRule="exact"/>
      </w:pPr>
    </w:p>
    <w:p>
      <w:pPr>
        <w:pStyle w:val="BodyText"/>
      </w:pPr>
      <w:r>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pStyle w:val="BodyText"/>
      </w:pPr>
      <w:r>
        <w:rPr>
          <w:b/>
        </w:rPr>
        <w:t>NLI cannot see content that survived.</w:t>
      </w:r>
      <w:r>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pStyle w:val="BodyText"/>
      </w:pPr>
      <w:r>
        <w:rPr>
          <w:b/>
        </w:rPr>
        <w:t>The LLM judge is at chance.</w:t>
      </w:r>
      <w:r>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pStyle w:val="BodyText"/>
      </w:pPr>
      <w:r>
        <w:rPr>
          <w:b/>
        </w:rPr>
        <w:t>Base-rate distortion.</w:t>
      </w:r>
      <w:r>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pStyle w:val="Heading1"/>
      </w:pPr>
      <w:r>
        <w:rPr/>
        <w:t xml:space="preserve">VI. </w:t>
      </w:r>
      <w:r>
        <w:rPr/>
        <w:t>Results: Extraction and Its Ceiling</w:t>
      </w:r>
    </w:p>
    <w:p>
      <w:pPr>
        <w:pStyle w:val="tablehead"/>
        <w:keepNext/>
        <w:spacing w:before="160" w:after="0"/>
      </w:pPr>
      <w:r>
        <w:rPr/>
        <w:t>TABLE III</w:t>
      </w:r>
    </w:p>
    <w:p>
      <w:pPr>
        <w:pStyle w:val="tablehead"/>
        <w:keepNext/>
        <w:spacing w:before="0" w:after="80"/>
      </w:pPr>
      <w:r>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5"/>
        <w:gridCol w:w="3485"/>
        <w:gridCol w:w="3485"/>
      </w:tblGrid>
      <w:tr>
        <w:tc>
          <w:tcPr>
            <w:tcW w:type="dxa" w:w="1271"/>
            <w:tcBorders>
              <w:top w:val="single" w:sz="8" w:color="000000"/>
              <w:left w:val="nil"/>
              <w:bottom w:val="single" w:sz="4" w:color="000000"/>
              <w:right w:val="nil"/>
            </w:tcBorders>
          </w:tcPr>
          <w:p>
            <w:pPr>
              <w:pStyle w:val="tablecopy"/>
              <w:keepNext/>
              <w:spacing w:before="20" w:after="20"/>
              <w:jc w:val="left"/>
            </w:pPr>
            <w:r>
              <w:rPr/>
              <w:t>Meeting</w:t>
            </w:r>
          </w:p>
        </w:tc>
        <w:tc>
          <w:tcPr>
            <w:tcW w:type="dxa" w:w="1849"/>
            <w:tcBorders>
              <w:top w:val="single" w:sz="8" w:color="000000"/>
              <w:left w:val="nil"/>
              <w:bottom w:val="single" w:sz="4" w:color="000000"/>
              <w:right w:val="nil"/>
            </w:tcBorders>
          </w:tcPr>
          <w:p>
            <w:pPr>
              <w:pStyle w:val="tablecopy"/>
              <w:keepNext/>
              <w:spacing w:before="20" w:after="20"/>
              <w:jc w:val="right"/>
            </w:pPr>
            <w:r>
              <w:rPr/>
              <w:t>Lexical</w:t>
            </w:r>
          </w:p>
        </w:tc>
        <w:tc>
          <w:tcPr>
            <w:tcW w:type="dxa" w:w="1849"/>
            <w:tcBorders>
              <w:top w:val="single" w:sz="8" w:color="000000"/>
              <w:left w:val="nil"/>
              <w:bottom w:val="single" w:sz="4" w:color="000000"/>
              <w:right w:val="nil"/>
            </w:tcBorders>
          </w:tcPr>
          <w:p>
            <w:pPr>
              <w:pStyle w:val="tablecopy"/>
              <w:keepNext/>
              <w:spacing w:before="20" w:after="20"/>
              <w:jc w:val="right"/>
            </w:pPr>
            <w:r>
              <w:rPr/>
              <w:t>Semantic</w:t>
            </w:r>
          </w:p>
        </w:tc>
      </w:tr>
      <w:tr>
        <w:tc>
          <w:tcPr>
            <w:tcW w:type="dxa" w:w="1271"/>
            <w:tcBorders>
              <w:top w:val="nil"/>
              <w:left w:val="nil"/>
              <w:bottom w:val="nil"/>
              <w:right w:val="nil"/>
            </w:tcBorders>
          </w:tcPr>
          <w:p>
            <w:pPr>
              <w:pStyle w:val="tablecopy"/>
              <w:keepNext/>
              <w:spacing w:before="20" w:after="20"/>
              <w:jc w:val="left"/>
            </w:pPr>
            <w:r>
              <w:rPr/>
              <w:t>QSUM_001</w:t>
            </w:r>
          </w:p>
        </w:tc>
        <w:tc>
          <w:tcPr>
            <w:tcW w:type="dxa" w:w="1849"/>
            <w:tcBorders>
              <w:top w:val="nil"/>
              <w:left w:val="nil"/>
              <w:bottom w:val="nil"/>
              <w:right w:val="nil"/>
            </w:tcBorders>
          </w:tcPr>
          <w:p>
            <w:pPr>
              <w:pStyle w:val="tablecopy"/>
              <w:keepNext/>
              <w:spacing w:before="20" w:after="20"/>
              <w:jc w:val="right"/>
            </w:pPr>
            <w:r>
              <w:rPr/>
              <w:t>0.455</w:t>
            </w:r>
          </w:p>
        </w:tc>
        <w:tc>
          <w:tcPr>
            <w:tcW w:type="dxa" w:w="1849"/>
            <w:tcBorders>
              <w:top w:val="nil"/>
              <w:left w:val="nil"/>
              <w:bottom w:val="nil"/>
              <w:right w:val="nil"/>
            </w:tcBorders>
          </w:tcPr>
          <w:p>
            <w:pPr>
              <w:pStyle w:val="tablecopy"/>
              <w:keepNext/>
              <w:spacing w:before="20" w:after="20"/>
              <w:jc w:val="right"/>
            </w:pPr>
            <w:r>
              <w:rPr/>
              <w:t>0.636</w:t>
            </w:r>
          </w:p>
        </w:tc>
      </w:tr>
      <w:tr>
        <w:tc>
          <w:tcPr>
            <w:tcW w:type="dxa" w:w="1271"/>
            <w:tcBorders>
              <w:top w:val="nil"/>
              <w:left w:val="nil"/>
              <w:bottom w:val="nil"/>
              <w:right w:val="nil"/>
            </w:tcBorders>
          </w:tcPr>
          <w:p>
            <w:pPr>
              <w:pStyle w:val="tablecopy"/>
              <w:keepNext/>
              <w:spacing w:before="20" w:after="20"/>
              <w:jc w:val="left"/>
            </w:pPr>
            <w:r>
              <w:rPr/>
              <w:t>QSUM_002</w:t>
            </w:r>
          </w:p>
        </w:tc>
        <w:tc>
          <w:tcPr>
            <w:tcW w:type="dxa" w:w="1849"/>
            <w:tcBorders>
              <w:top w:val="nil"/>
              <w:left w:val="nil"/>
              <w:bottom w:val="nil"/>
              <w:right w:val="nil"/>
            </w:tcBorders>
          </w:tcPr>
          <w:p>
            <w:pPr>
              <w:pStyle w:val="tablecopy"/>
              <w:keepNext/>
              <w:spacing w:before="20" w:after="20"/>
              <w:jc w:val="right"/>
            </w:pPr>
            <w:r>
              <w:rPr/>
              <w:t>0.500</w:t>
            </w:r>
          </w:p>
        </w:tc>
        <w:tc>
          <w:tcPr>
            <w:tcW w:type="dxa" w:w="1849"/>
            <w:tcBorders>
              <w:top w:val="nil"/>
              <w:left w:val="nil"/>
              <w:bottom w:val="nil"/>
              <w:right w:val="nil"/>
            </w:tcBorders>
          </w:tcPr>
          <w:p>
            <w:pPr>
              <w:pStyle w:val="tablecopy"/>
              <w:keepNext/>
              <w:spacing w:before="20" w:after="20"/>
              <w:jc w:val="right"/>
            </w:pPr>
            <w:r>
              <w:rPr/>
              <w:t>0.875</w:t>
            </w:r>
          </w:p>
        </w:tc>
      </w:tr>
      <w:tr>
        <w:tc>
          <w:tcPr>
            <w:tcW w:type="dxa" w:w="1271"/>
            <w:tcBorders>
              <w:top w:val="nil"/>
              <w:left w:val="nil"/>
              <w:bottom w:val="nil"/>
              <w:right w:val="nil"/>
            </w:tcBorders>
          </w:tcPr>
          <w:p>
            <w:pPr>
              <w:pStyle w:val="tablecopy"/>
              <w:keepNext/>
              <w:spacing w:before="20" w:after="20"/>
              <w:jc w:val="left"/>
            </w:pPr>
            <w:r>
              <w:rPr/>
              <w:t>QSUM_003</w:t>
            </w:r>
          </w:p>
        </w:tc>
        <w:tc>
          <w:tcPr>
            <w:tcW w:type="dxa" w:w="1849"/>
            <w:tcBorders>
              <w:top w:val="nil"/>
              <w:left w:val="nil"/>
              <w:bottom w:val="nil"/>
              <w:right w:val="nil"/>
            </w:tcBorders>
          </w:tcPr>
          <w:p>
            <w:pPr>
              <w:pStyle w:val="tablecopy"/>
              <w:keepNext/>
              <w:spacing w:before="20" w:after="20"/>
              <w:jc w:val="right"/>
            </w:pPr>
            <w:r>
              <w:rPr/>
              <w:t>0.111</w:t>
            </w:r>
          </w:p>
        </w:tc>
        <w:tc>
          <w:tcPr>
            <w:tcW w:type="dxa" w:w="1849"/>
            <w:tcBorders>
              <w:top w:val="nil"/>
              <w:left w:val="nil"/>
              <w:bottom w:val="nil"/>
              <w:right w:val="nil"/>
            </w:tcBorders>
          </w:tcPr>
          <w:p>
            <w:pPr>
              <w:pStyle w:val="tablecopy"/>
              <w:keepNext/>
              <w:spacing w:before="20" w:after="20"/>
              <w:jc w:val="right"/>
            </w:pPr>
            <w:r>
              <w:rPr/>
              <w:t>0.222</w:t>
            </w:r>
          </w:p>
        </w:tc>
      </w:tr>
      <w:tr>
        <w:tc>
          <w:tcPr>
            <w:tcW w:type="dxa" w:w="1271"/>
            <w:tcBorders>
              <w:top w:val="nil"/>
              <w:left w:val="nil"/>
              <w:bottom w:val="nil"/>
              <w:right w:val="nil"/>
            </w:tcBorders>
          </w:tcPr>
          <w:p>
            <w:pPr>
              <w:pStyle w:val="tablecopy"/>
              <w:keepNext/>
              <w:spacing w:before="20" w:after="20"/>
              <w:jc w:val="left"/>
            </w:pPr>
            <w:r>
              <w:rPr/>
              <w:t>QSUM_004</w:t>
            </w:r>
          </w:p>
        </w:tc>
        <w:tc>
          <w:tcPr>
            <w:tcW w:type="dxa" w:w="1849"/>
            <w:tcBorders>
              <w:top w:val="nil"/>
              <w:left w:val="nil"/>
              <w:bottom w:val="nil"/>
              <w:right w:val="nil"/>
            </w:tcBorders>
          </w:tcPr>
          <w:p>
            <w:pPr>
              <w:pStyle w:val="tablecopy"/>
              <w:keepNext/>
              <w:spacing w:before="20" w:after="20"/>
              <w:jc w:val="right"/>
            </w:pPr>
            <w:r>
              <w:rPr/>
              <w:t>0.286</w:t>
            </w:r>
          </w:p>
        </w:tc>
        <w:tc>
          <w:tcPr>
            <w:tcW w:type="dxa" w:w="1849"/>
            <w:tcBorders>
              <w:top w:val="nil"/>
              <w:left w:val="nil"/>
              <w:bottom w:val="nil"/>
              <w:right w:val="nil"/>
            </w:tcBorders>
          </w:tcPr>
          <w:p>
            <w:pPr>
              <w:pStyle w:val="tablecopy"/>
              <w:keepNext/>
              <w:spacing w:before="20" w:after="20"/>
              <w:jc w:val="right"/>
            </w:pPr>
            <w:r>
              <w:rPr/>
              <w:t>0.643</w:t>
            </w:r>
          </w:p>
        </w:tc>
      </w:tr>
      <w:tr>
        <w:tc>
          <w:tcPr>
            <w:tcW w:type="dxa" w:w="1271"/>
            <w:tcBorders>
              <w:top w:val="nil"/>
              <w:left w:val="nil"/>
              <w:bottom w:val="single" w:sz="4" w:color="000000"/>
              <w:right w:val="nil"/>
            </w:tcBorders>
          </w:tcPr>
          <w:p>
            <w:pPr>
              <w:pStyle w:val="tablecopy"/>
              <w:keepNext/>
              <w:spacing w:before="20" w:after="20"/>
              <w:jc w:val="left"/>
            </w:pPr>
            <w:r>
              <w:rPr/>
              <w:t>QSUM_005</w:t>
            </w:r>
          </w:p>
        </w:tc>
        <w:tc>
          <w:tcPr>
            <w:tcW w:type="dxa" w:w="1849"/>
            <w:tcBorders>
              <w:top w:val="nil"/>
              <w:left w:val="nil"/>
              <w:bottom w:val="single" w:sz="4" w:color="000000"/>
              <w:right w:val="nil"/>
            </w:tcBorders>
          </w:tcPr>
          <w:p>
            <w:pPr>
              <w:pStyle w:val="tablecopy"/>
              <w:keepNext/>
              <w:spacing w:before="20" w:after="20"/>
              <w:jc w:val="right"/>
            </w:pPr>
            <w:r>
              <w:rPr/>
              <w:t>0.333</w:t>
            </w:r>
          </w:p>
        </w:tc>
        <w:tc>
          <w:tcPr>
            <w:tcW w:type="dxa" w:w="1849"/>
            <w:tcBorders>
              <w:top w:val="nil"/>
              <w:left w:val="nil"/>
              <w:bottom w:val="single" w:sz="4" w:color="000000"/>
              <w:right w:val="nil"/>
            </w:tcBorders>
          </w:tcPr>
          <w:p>
            <w:pPr>
              <w:pStyle w:val="tablecopy"/>
              <w:keepNext/>
              <w:spacing w:before="20" w:after="20"/>
              <w:jc w:val="right"/>
            </w:pPr>
            <w:r>
              <w:rPr/>
              <w:t>0.500</w:t>
            </w:r>
          </w:p>
        </w:tc>
      </w:tr>
      <w:tr>
        <w:tc>
          <w:tcPr>
            <w:tcW w:type="dxa" w:w="1271"/>
            <w:tcBorders>
              <w:top w:val="nil"/>
              <w:left w:val="nil"/>
              <w:bottom w:val="single" w:sz="8" w:color="000000"/>
              <w:right w:val="nil"/>
            </w:tcBorders>
          </w:tcPr>
          <w:p>
            <w:pPr>
              <w:pStyle w:val="tablecopy"/>
              <w:spacing w:before="20" w:after="20"/>
              <w:jc w:val="left"/>
            </w:pPr>
            <w:r>
              <w:rPr/>
              <w:t>Pooled</w:t>
            </w:r>
          </w:p>
        </w:tc>
        <w:tc>
          <w:tcPr>
            <w:tcW w:type="dxa" w:w="1849"/>
            <w:tcBorders>
              <w:top w:val="nil"/>
              <w:left w:val="nil"/>
              <w:bottom w:val="single" w:sz="8" w:color="000000"/>
              <w:right w:val="nil"/>
            </w:tcBorders>
          </w:tcPr>
          <w:p>
            <w:pPr>
              <w:pStyle w:val="tablecopy"/>
              <w:spacing w:before="20" w:after="20"/>
              <w:jc w:val="right"/>
            </w:pPr>
            <w:r>
              <w:rPr>
                <w:b/>
              </w:rPr>
              <w:t>0.333</w:t>
            </w:r>
            <w:r>
              <w:rPr/>
              <w:t xml:space="preserve"> (16/48)</w:t>
            </w:r>
          </w:p>
        </w:tc>
        <w:tc>
          <w:tcPr>
            <w:tcW w:type="dxa" w:w="1849"/>
            <w:tcBorders>
              <w:top w:val="nil"/>
              <w:left w:val="nil"/>
              <w:bottom w:val="single" w:sz="8" w:color="000000"/>
              <w:right w:val="nil"/>
            </w:tcBorders>
          </w:tcPr>
          <w:p>
            <w:pPr>
              <w:pStyle w:val="tablecopy"/>
              <w:spacing w:before="20" w:after="20"/>
              <w:jc w:val="right"/>
            </w:pPr>
            <w:r>
              <w:rPr>
                <w:b/>
              </w:rPr>
              <w:t>0.583</w:t>
            </w:r>
            <w:r>
              <w:rPr/>
              <w:t xml:space="preserve"> (28/48)</w:t>
            </w:r>
          </w:p>
        </w:tc>
      </w:tr>
    </w:tbl>
    <w:p>
      <w:pPr>
        <w:spacing w:before="0" w:after="0" w:line="120" w:lineRule="exact"/>
      </w:pPr>
    </w:p>
    <w:p>
      <w:pPr>
        <w:pStyle w:val="BodyText"/>
      </w:pPr>
      <w:r>
        <w:rPr>
          <w:b/>
        </w:rPr>
        <w:t>Completeness is a range.</w:t>
      </w:r>
      <w:r>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pStyle w:val="tablehead"/>
        <w:keepNext/>
        <w:spacing w:before="160" w:after="0"/>
      </w:pPr>
      <w:r>
        <w:rPr/>
        <w:t>TABLE IV</w:t>
      </w:r>
    </w:p>
    <w:p>
      <w:pPr>
        <w:pStyle w:val="tablehead"/>
        <w:keepNext/>
        <w:spacing w:before="0" w:after="80"/>
      </w:pPr>
      <w:r>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046"/>
            <w:tcBorders>
              <w:top w:val="single" w:sz="8" w:color="000000"/>
              <w:left w:val="nil"/>
              <w:bottom w:val="single" w:sz="4" w:color="000000"/>
              <w:right w:val="nil"/>
            </w:tcBorders>
          </w:tcPr>
          <w:p>
            <w:pPr>
              <w:pStyle w:val="tablecopy"/>
              <w:keepNext/>
              <w:spacing w:before="20" w:after="20"/>
              <w:jc w:val="left"/>
            </w:pPr>
            <w:r>
              <w:rPr/>
              <w:t>Domain</w:t>
            </w:r>
          </w:p>
        </w:tc>
        <w:tc>
          <w:tcPr>
            <w:tcW w:type="dxa" w:w="959"/>
            <w:tcBorders>
              <w:top w:val="single" w:sz="8" w:color="000000"/>
              <w:left w:val="nil"/>
              <w:bottom w:val="single" w:sz="4" w:color="000000"/>
              <w:right w:val="nil"/>
            </w:tcBorders>
          </w:tcPr>
          <w:p>
            <w:pPr>
              <w:pStyle w:val="tablecopy"/>
              <w:keepNext/>
              <w:spacing w:before="20" w:after="20"/>
              <w:jc w:val="right"/>
            </w:pPr>
            <w:r>
              <w:rPr/>
              <w:t>Meetings</w:t>
            </w:r>
          </w:p>
        </w:tc>
        <w:tc>
          <w:tcPr>
            <w:tcW w:type="dxa" w:w="784"/>
            <w:tcBorders>
              <w:top w:val="single" w:sz="8" w:color="000000"/>
              <w:left w:val="nil"/>
              <w:bottom w:val="single" w:sz="4" w:color="000000"/>
              <w:right w:val="nil"/>
            </w:tcBorders>
          </w:tcPr>
          <w:p>
            <w:pPr>
              <w:pStyle w:val="tablecopy"/>
              <w:keepNext/>
              <w:spacing w:before="20" w:after="20"/>
              <w:jc w:val="right"/>
            </w:pPr>
            <w:r>
              <w:rPr/>
              <w:t>Quotes</w:t>
            </w:r>
          </w:p>
        </w:tc>
        <w:tc>
          <w:tcPr>
            <w:tcW w:type="dxa" w:w="872"/>
            <w:tcBorders>
              <w:top w:val="single" w:sz="8" w:color="000000"/>
              <w:left w:val="nil"/>
              <w:bottom w:val="single" w:sz="4" w:color="000000"/>
              <w:right w:val="nil"/>
            </w:tcBorders>
          </w:tcPr>
          <w:p>
            <w:pPr>
              <w:pStyle w:val="tablecopy"/>
              <w:keepNext/>
              <w:spacing w:before="20" w:after="20"/>
              <w:jc w:val="right"/>
            </w:pPr>
            <w:r>
              <w:rPr/>
              <w:t>Unsupp.</w:t>
            </w:r>
          </w:p>
        </w:tc>
        <w:tc>
          <w:tcPr>
            <w:tcW w:type="dxa" w:w="1307"/>
            <w:tcBorders>
              <w:top w:val="single" w:sz="8" w:color="000000"/>
              <w:left w:val="nil"/>
              <w:bottom w:val="single" w:sz="4" w:color="000000"/>
              <w:right w:val="nil"/>
            </w:tcBorders>
          </w:tcPr>
          <w:p>
            <w:pPr>
              <w:pStyle w:val="tablecopy"/>
              <w:keepNext/>
              <w:spacing w:before="20" w:after="20"/>
              <w:jc w:val="right"/>
            </w:pPr>
            <w:r>
              <w:rPr/>
              <w:t>Excl. tidied</w:t>
            </w:r>
          </w:p>
        </w:tc>
      </w:tr>
      <w:tr>
        <w:tc>
          <w:tcPr>
            <w:tcW w:type="dxa" w:w="1046"/>
            <w:tcBorders>
              <w:top w:val="nil"/>
              <w:left w:val="nil"/>
              <w:bottom w:val="nil"/>
              <w:right w:val="nil"/>
            </w:tcBorders>
          </w:tcPr>
          <w:p>
            <w:pPr>
              <w:pStyle w:val="tablecopy"/>
              <w:keepNext/>
              <w:spacing w:before="20" w:after="20"/>
              <w:jc w:val="left"/>
            </w:pPr>
            <w:r>
              <w:rPr/>
              <w:t>Academic</w:t>
            </w:r>
          </w:p>
        </w:tc>
        <w:tc>
          <w:tcPr>
            <w:tcW w:type="dxa" w:w="959"/>
            <w:tcBorders>
              <w:top w:val="nil"/>
              <w:left w:val="nil"/>
              <w:bottom w:val="nil"/>
              <w:right w:val="nil"/>
            </w:tcBorders>
          </w:tcPr>
          <w:p>
            <w:pPr>
              <w:pStyle w:val="tablecopy"/>
              <w:keepNext/>
              <w:spacing w:before="20" w:after="20"/>
              <w:jc w:val="right"/>
            </w:pPr>
            <w:r>
              <w:rPr/>
              <w:t>59</w:t>
            </w:r>
          </w:p>
        </w:tc>
        <w:tc>
          <w:tcPr>
            <w:tcW w:type="dxa" w:w="784"/>
            <w:tcBorders>
              <w:top w:val="nil"/>
              <w:left w:val="nil"/>
              <w:bottom w:val="nil"/>
              <w:right w:val="nil"/>
            </w:tcBorders>
          </w:tcPr>
          <w:p>
            <w:pPr>
              <w:pStyle w:val="tablecopy"/>
              <w:keepNext/>
              <w:spacing w:before="20" w:after="20"/>
              <w:jc w:val="right"/>
            </w:pPr>
            <w:r>
              <w:rPr/>
              <w:t>6,341</w:t>
            </w:r>
          </w:p>
        </w:tc>
        <w:tc>
          <w:tcPr>
            <w:tcW w:type="dxa" w:w="872"/>
            <w:tcBorders>
              <w:top w:val="nil"/>
              <w:left w:val="nil"/>
              <w:bottom w:val="nil"/>
              <w:right w:val="nil"/>
            </w:tcBorders>
          </w:tcPr>
          <w:p>
            <w:pPr>
              <w:pStyle w:val="tablecopy"/>
              <w:keepNext/>
              <w:spacing w:before="20" w:after="20"/>
              <w:jc w:val="right"/>
            </w:pPr>
            <w:r>
              <w:rPr/>
              <w:t>26.7%</w:t>
            </w:r>
          </w:p>
        </w:tc>
        <w:tc>
          <w:tcPr>
            <w:tcW w:type="dxa" w:w="1307"/>
            <w:tcBorders>
              <w:top w:val="nil"/>
              <w:left w:val="nil"/>
              <w:bottom w:val="nil"/>
              <w:right w:val="nil"/>
            </w:tcBorders>
          </w:tcPr>
          <w:p>
            <w:pPr>
              <w:pStyle w:val="tablecopy"/>
              <w:keepNext/>
              <w:spacing w:before="20" w:after="20"/>
              <w:jc w:val="right"/>
            </w:pPr>
            <w:r>
              <w:rPr/>
              <w:t>7.6%</w:t>
            </w:r>
          </w:p>
        </w:tc>
      </w:tr>
      <w:tr>
        <w:tc>
          <w:tcPr>
            <w:tcW w:type="dxa" w:w="1046"/>
            <w:tcBorders>
              <w:top w:val="nil"/>
              <w:left w:val="nil"/>
              <w:bottom w:val="nil"/>
              <w:right w:val="nil"/>
            </w:tcBorders>
          </w:tcPr>
          <w:p>
            <w:pPr>
              <w:pStyle w:val="tablecopy"/>
              <w:keepNext/>
              <w:spacing w:before="20" w:after="20"/>
              <w:jc w:val="left"/>
            </w:pPr>
            <w:r>
              <w:rPr/>
              <w:t>Committee</w:t>
            </w:r>
          </w:p>
        </w:tc>
        <w:tc>
          <w:tcPr>
            <w:tcW w:type="dxa" w:w="959"/>
            <w:tcBorders>
              <w:top w:val="nil"/>
              <w:left w:val="nil"/>
              <w:bottom w:val="nil"/>
              <w:right w:val="nil"/>
            </w:tcBorders>
          </w:tcPr>
          <w:p>
            <w:pPr>
              <w:pStyle w:val="tablecopy"/>
              <w:keepNext/>
              <w:spacing w:before="20" w:after="20"/>
              <w:jc w:val="right"/>
            </w:pPr>
            <w:r>
              <w:rPr/>
              <w:t>36</w:t>
            </w:r>
          </w:p>
        </w:tc>
        <w:tc>
          <w:tcPr>
            <w:tcW w:type="dxa" w:w="784"/>
            <w:tcBorders>
              <w:top w:val="nil"/>
              <w:left w:val="nil"/>
              <w:bottom w:val="nil"/>
              <w:right w:val="nil"/>
            </w:tcBorders>
          </w:tcPr>
          <w:p>
            <w:pPr>
              <w:pStyle w:val="tablecopy"/>
              <w:keepNext/>
              <w:spacing w:before="20" w:after="20"/>
              <w:jc w:val="right"/>
            </w:pPr>
            <w:r>
              <w:rPr/>
              <w:t>5,441</w:t>
            </w:r>
          </w:p>
        </w:tc>
        <w:tc>
          <w:tcPr>
            <w:tcW w:type="dxa" w:w="872"/>
            <w:tcBorders>
              <w:top w:val="nil"/>
              <w:left w:val="nil"/>
              <w:bottom w:val="nil"/>
              <w:right w:val="nil"/>
            </w:tcBorders>
          </w:tcPr>
          <w:p>
            <w:pPr>
              <w:pStyle w:val="tablecopy"/>
              <w:keepNext/>
              <w:spacing w:before="20" w:after="20"/>
              <w:jc w:val="right"/>
            </w:pPr>
            <w:r>
              <w:rPr/>
              <w:t>5.1%</w:t>
            </w:r>
          </w:p>
        </w:tc>
        <w:tc>
          <w:tcPr>
            <w:tcW w:type="dxa" w:w="1307"/>
            <w:tcBorders>
              <w:top w:val="nil"/>
              <w:left w:val="nil"/>
              <w:bottom w:val="nil"/>
              <w:right w:val="nil"/>
            </w:tcBorders>
          </w:tcPr>
          <w:p>
            <w:pPr>
              <w:pStyle w:val="tablecopy"/>
              <w:keepNext/>
              <w:spacing w:before="20" w:after="20"/>
              <w:jc w:val="right"/>
            </w:pPr>
            <w:r>
              <w:rPr/>
              <w:t>3.6%</w:t>
            </w:r>
          </w:p>
        </w:tc>
      </w:tr>
      <w:tr>
        <w:tc>
          <w:tcPr>
            <w:tcW w:type="dxa" w:w="1046"/>
            <w:tcBorders>
              <w:top w:val="nil"/>
              <w:left w:val="nil"/>
              <w:bottom w:val="single" w:sz="4" w:color="000000"/>
              <w:right w:val="nil"/>
            </w:tcBorders>
          </w:tcPr>
          <w:p>
            <w:pPr>
              <w:pStyle w:val="tablecopy"/>
              <w:keepNext/>
              <w:spacing w:before="20" w:after="20"/>
              <w:jc w:val="left"/>
            </w:pPr>
            <w:r>
              <w:rPr/>
              <w:t>Product</w:t>
            </w:r>
          </w:p>
        </w:tc>
        <w:tc>
          <w:tcPr>
            <w:tcW w:type="dxa" w:w="959"/>
            <w:tcBorders>
              <w:top w:val="nil"/>
              <w:left w:val="nil"/>
              <w:bottom w:val="single" w:sz="4" w:color="000000"/>
              <w:right w:val="nil"/>
            </w:tcBorders>
          </w:tcPr>
          <w:p>
            <w:pPr>
              <w:pStyle w:val="tablecopy"/>
              <w:keepNext/>
              <w:spacing w:before="20" w:after="20"/>
              <w:jc w:val="right"/>
            </w:pPr>
            <w:r>
              <w:rPr/>
              <w:t>132</w:t>
            </w:r>
          </w:p>
        </w:tc>
        <w:tc>
          <w:tcPr>
            <w:tcW w:type="dxa" w:w="784"/>
            <w:tcBorders>
              <w:top w:val="nil"/>
              <w:left w:val="nil"/>
              <w:bottom w:val="single" w:sz="4" w:color="000000"/>
              <w:right w:val="nil"/>
            </w:tcBorders>
          </w:tcPr>
          <w:p>
            <w:pPr>
              <w:pStyle w:val="tablecopy"/>
              <w:keepNext/>
              <w:spacing w:before="20" w:after="20"/>
              <w:jc w:val="right"/>
            </w:pPr>
            <w:r>
              <w:rPr/>
              <w:t>10,167</w:t>
            </w:r>
          </w:p>
        </w:tc>
        <w:tc>
          <w:tcPr>
            <w:tcW w:type="dxa" w:w="872"/>
            <w:tcBorders>
              <w:top w:val="nil"/>
              <w:left w:val="nil"/>
              <w:bottom w:val="single" w:sz="4" w:color="000000"/>
              <w:right w:val="nil"/>
            </w:tcBorders>
          </w:tcPr>
          <w:p>
            <w:pPr>
              <w:pStyle w:val="tablecopy"/>
              <w:keepNext/>
              <w:spacing w:before="20" w:after="20"/>
              <w:jc w:val="right"/>
            </w:pPr>
            <w:r>
              <w:rPr/>
              <w:t>12.0%</w:t>
            </w:r>
          </w:p>
        </w:tc>
        <w:tc>
          <w:tcPr>
            <w:tcW w:type="dxa" w:w="1307"/>
            <w:tcBorders>
              <w:top w:val="nil"/>
              <w:left w:val="nil"/>
              <w:bottom w:val="single" w:sz="4" w:color="000000"/>
              <w:right w:val="nil"/>
            </w:tcBorders>
          </w:tcPr>
          <w:p>
            <w:pPr>
              <w:pStyle w:val="tablecopy"/>
              <w:keepNext/>
              <w:spacing w:before="20" w:after="20"/>
              <w:jc w:val="right"/>
            </w:pPr>
            <w:r>
              <w:rPr/>
              <w:t>5.1%</w:t>
            </w:r>
          </w:p>
        </w:tc>
      </w:tr>
      <w:tr>
        <w:tc>
          <w:tcPr>
            <w:tcW w:type="dxa" w:w="1046"/>
            <w:tcBorders>
              <w:top w:val="nil"/>
              <w:left w:val="nil"/>
              <w:bottom w:val="single" w:sz="8" w:color="000000"/>
              <w:right w:val="nil"/>
            </w:tcBorders>
          </w:tcPr>
          <w:p>
            <w:pPr>
              <w:pStyle w:val="tablecopy"/>
              <w:spacing w:before="20" w:after="20"/>
              <w:jc w:val="left"/>
            </w:pPr>
            <w:r>
              <w:rPr/>
              <w:t>All</w:t>
            </w:r>
          </w:p>
        </w:tc>
        <w:tc>
          <w:tcPr>
            <w:tcW w:type="dxa" w:w="959"/>
            <w:tcBorders>
              <w:top w:val="nil"/>
              <w:left w:val="nil"/>
              <w:bottom w:val="single" w:sz="8" w:color="000000"/>
              <w:right w:val="nil"/>
            </w:tcBorders>
          </w:tcPr>
          <w:p>
            <w:pPr>
              <w:pStyle w:val="tablecopy"/>
              <w:spacing w:before="20" w:after="20"/>
              <w:jc w:val="right"/>
            </w:pPr>
            <w:r>
              <w:rPr/>
              <w:t>227</w:t>
            </w:r>
          </w:p>
        </w:tc>
        <w:tc>
          <w:tcPr>
            <w:tcW w:type="dxa" w:w="784"/>
            <w:tcBorders>
              <w:top w:val="nil"/>
              <w:left w:val="nil"/>
              <w:bottom w:val="single" w:sz="8" w:color="000000"/>
              <w:right w:val="nil"/>
            </w:tcBorders>
          </w:tcPr>
          <w:p>
            <w:pPr>
              <w:pStyle w:val="tablecopy"/>
              <w:spacing w:before="20" w:after="20"/>
              <w:jc w:val="right"/>
            </w:pPr>
            <w:r>
              <w:rPr/>
              <w:t>21,949</w:t>
            </w:r>
          </w:p>
        </w:tc>
        <w:tc>
          <w:tcPr>
            <w:tcW w:type="dxa" w:w="872"/>
            <w:tcBorders>
              <w:top w:val="nil"/>
              <w:left w:val="nil"/>
              <w:bottom w:val="single" w:sz="8" w:color="000000"/>
              <w:right w:val="nil"/>
            </w:tcBorders>
          </w:tcPr>
          <w:p>
            <w:pPr>
              <w:pStyle w:val="tablecopy"/>
              <w:spacing w:before="20" w:after="20"/>
              <w:jc w:val="right"/>
            </w:pPr>
            <w:r>
              <w:rPr/>
              <w:t>14.6%</w:t>
            </w:r>
          </w:p>
        </w:tc>
        <w:tc>
          <w:tcPr>
            <w:tcW w:type="dxa" w:w="1307"/>
            <w:tcBorders>
              <w:top w:val="nil"/>
              <w:left w:val="nil"/>
              <w:bottom w:val="single" w:sz="8" w:color="000000"/>
              <w:right w:val="nil"/>
            </w:tcBorders>
          </w:tcPr>
          <w:p>
            <w:pPr>
              <w:pStyle w:val="tablecopy"/>
              <w:spacing w:before="20" w:after="20"/>
              <w:jc w:val="right"/>
            </w:pPr>
            <w:r>
              <w:rPr/>
              <w:t>5.4%</w:t>
            </w:r>
          </w:p>
        </w:tc>
      </w:tr>
    </w:tbl>
    <w:p>
      <w:pPr>
        <w:spacing w:before="0" w:after="0" w:line="120" w:lineRule="exact"/>
      </w:pPr>
    </w:p>
    <w:p>
      <w:pPr>
        <w:pStyle w:val="BodyText"/>
      </w:pPr>
      <w:r>
        <w:rPr>
          <w:b/>
        </w:rPr>
        <w:t>Grounding across domains.</w:t>
      </w:r>
      <w:r>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pStyle w:val="tablehead"/>
        <w:keepNext/>
        <w:spacing w:before="160" w:after="0"/>
      </w:pPr>
      <w:r>
        <w:rPr/>
        <w:t>TABLE V</w:t>
      </w:r>
    </w:p>
    <w:p>
      <w:pPr>
        <w:pStyle w:val="tablehead"/>
        <w:keepNext/>
        <w:spacing w:before="0" w:after="80"/>
      </w:pPr>
      <w:r>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5"/>
        <w:gridCol w:w="3485"/>
        <w:gridCol w:w="3485"/>
      </w:tblGrid>
      <w:tr>
        <w:tc>
          <w:tcPr>
            <w:tcW w:type="dxa" w:w="3846"/>
            <w:tcBorders>
              <w:top w:val="single" w:sz="8" w:color="000000"/>
              <w:left w:val="nil"/>
              <w:bottom w:val="single" w:sz="4" w:color="000000"/>
              <w:right w:val="nil"/>
            </w:tcBorders>
          </w:tcPr>
          <w:p>
            <w:pPr>
              <w:pStyle w:val="tablecopy"/>
              <w:keepNext/>
              <w:spacing w:before="20" w:after="20"/>
              <w:jc w:val="left"/>
            </w:pPr>
            <w:r>
              <w:rPr/>
              <w:t>Failure category</w:t>
            </w:r>
          </w:p>
        </w:tc>
        <w:tc>
          <w:tcPr>
            <w:tcW w:type="dxa" w:w="481"/>
            <w:tcBorders>
              <w:top w:val="single" w:sz="8" w:color="000000"/>
              <w:left w:val="nil"/>
              <w:bottom w:val="single" w:sz="4" w:color="000000"/>
              <w:right w:val="nil"/>
            </w:tcBorders>
          </w:tcPr>
          <w:p>
            <w:pPr>
              <w:pStyle w:val="tablecopy"/>
              <w:keepNext/>
              <w:spacing w:before="20" w:after="20"/>
              <w:jc w:val="right"/>
            </w:pPr>
            <w:r>
              <w:rPr>
                <w:i/>
              </w:rPr>
              <w:t>n</w:t>
            </w:r>
          </w:p>
        </w:tc>
        <w:tc>
          <w:tcPr>
            <w:tcW w:type="dxa" w:w="641"/>
            <w:tcBorders>
              <w:top w:val="single" w:sz="8" w:color="000000"/>
              <w:left w:val="nil"/>
              <w:bottom w:val="single" w:sz="4" w:color="000000"/>
              <w:right w:val="nil"/>
            </w:tcBorders>
          </w:tcPr>
          <w:p>
            <w:pPr>
              <w:pStyle w:val="tablecopy"/>
              <w:keepNext/>
              <w:spacing w:before="20" w:after="20"/>
              <w:jc w:val="right"/>
            </w:pPr>
            <w:r>
              <w:rPr/>
              <w:t>Share</w:t>
            </w:r>
          </w:p>
        </w:tc>
      </w:tr>
      <w:tr>
        <w:tc>
          <w:tcPr>
            <w:tcW w:type="dxa" w:w="3846"/>
            <w:tcBorders>
              <w:top w:val="nil"/>
              <w:left w:val="nil"/>
              <w:bottom w:val="nil"/>
              <w:right w:val="nil"/>
            </w:tcBorders>
          </w:tcPr>
          <w:p>
            <w:pPr>
              <w:pStyle w:val="tablecopy"/>
              <w:keepNext/>
              <w:spacing w:before="20" w:after="20"/>
              <w:jc w:val="left"/>
            </w:pPr>
            <w:r>
              <w:rPr/>
              <w:t>Multi-hop, implicit (connection never stated)</w:t>
            </w:r>
          </w:p>
        </w:tc>
        <w:tc>
          <w:tcPr>
            <w:tcW w:type="dxa" w:w="481"/>
            <w:tcBorders>
              <w:top w:val="nil"/>
              <w:left w:val="nil"/>
              <w:bottom w:val="nil"/>
              <w:right w:val="nil"/>
            </w:tcBorders>
          </w:tcPr>
          <w:p>
            <w:pPr>
              <w:pStyle w:val="tablecopy"/>
              <w:keepNext/>
              <w:spacing w:before="20" w:after="20"/>
              <w:jc w:val="right"/>
            </w:pPr>
            <w:r>
              <w:rPr/>
              <w:t>6</w:t>
            </w:r>
          </w:p>
        </w:tc>
        <w:tc>
          <w:tcPr>
            <w:tcW w:type="dxa" w:w="641"/>
            <w:tcBorders>
              <w:top w:val="nil"/>
              <w:left w:val="nil"/>
              <w:bottom w:val="nil"/>
              <w:right w:val="nil"/>
            </w:tcBorders>
          </w:tcPr>
          <w:p>
            <w:pPr>
              <w:pStyle w:val="tablecopy"/>
              <w:keepNext/>
              <w:spacing w:before="20" w:after="20"/>
              <w:jc w:val="right"/>
            </w:pPr>
            <w:r>
              <w:rPr/>
              <w:t>30%</w:t>
            </w:r>
          </w:p>
        </w:tc>
      </w:tr>
      <w:tr>
        <w:tc>
          <w:tcPr>
            <w:tcW w:type="dxa" w:w="3846"/>
            <w:tcBorders>
              <w:top w:val="nil"/>
              <w:left w:val="nil"/>
              <w:bottom w:val="nil"/>
              <w:right w:val="nil"/>
            </w:tcBorders>
          </w:tcPr>
          <w:p>
            <w:pPr>
              <w:pStyle w:val="tablecopy"/>
              <w:keepNext/>
              <w:spacing w:before="20" w:after="20"/>
              <w:jc w:val="left"/>
            </w:pPr>
            <w:r>
              <w:rPr/>
              <w:t>Multi-hop, scattered (turns far apart)</w:t>
            </w:r>
          </w:p>
        </w:tc>
        <w:tc>
          <w:tcPr>
            <w:tcW w:type="dxa" w:w="481"/>
            <w:tcBorders>
              <w:top w:val="nil"/>
              <w:left w:val="nil"/>
              <w:bottom w:val="nil"/>
              <w:right w:val="nil"/>
            </w:tcBorders>
          </w:tcPr>
          <w:p>
            <w:pPr>
              <w:pStyle w:val="tablecopy"/>
              <w:keepNext/>
              <w:spacing w:before="20" w:after="20"/>
              <w:jc w:val="right"/>
            </w:pPr>
            <w:r>
              <w:rPr/>
              <w:t>5</w:t>
            </w:r>
          </w:p>
        </w:tc>
        <w:tc>
          <w:tcPr>
            <w:tcW w:type="dxa" w:w="641"/>
            <w:tcBorders>
              <w:top w:val="nil"/>
              <w:left w:val="nil"/>
              <w:bottom w:val="nil"/>
              <w:right w:val="nil"/>
            </w:tcBorders>
          </w:tcPr>
          <w:p>
            <w:pPr>
              <w:pStyle w:val="tablecopy"/>
              <w:keepNext/>
              <w:spacing w:before="20" w:after="20"/>
              <w:jc w:val="right"/>
            </w:pPr>
            <w:r>
              <w:rPr/>
              <w:t>25%</w:t>
            </w:r>
          </w:p>
        </w:tc>
      </w:tr>
      <w:tr>
        <w:tc>
          <w:tcPr>
            <w:tcW w:type="dxa" w:w="3846"/>
            <w:tcBorders>
              <w:top w:val="nil"/>
              <w:left w:val="nil"/>
              <w:bottom w:val="nil"/>
              <w:right w:val="nil"/>
            </w:tcBorders>
          </w:tcPr>
          <w:p>
            <w:pPr>
              <w:pStyle w:val="tablecopy"/>
              <w:keepNext/>
              <w:spacing w:before="20" w:after="20"/>
              <w:jc w:val="left"/>
            </w:pPr>
            <w:r>
              <w:rPr/>
              <w:t>Paraphrase miss (scorer did not match)</w:t>
            </w:r>
          </w:p>
        </w:tc>
        <w:tc>
          <w:tcPr>
            <w:tcW w:type="dxa" w:w="481"/>
            <w:tcBorders>
              <w:top w:val="nil"/>
              <w:left w:val="nil"/>
              <w:bottom w:val="nil"/>
              <w:right w:val="nil"/>
            </w:tcBorders>
          </w:tcPr>
          <w:p>
            <w:pPr>
              <w:pStyle w:val="tablecopy"/>
              <w:keepNext/>
              <w:spacing w:before="20" w:after="20"/>
              <w:jc w:val="right"/>
            </w:pPr>
            <w:r>
              <w:rPr/>
              <w:t>5</w:t>
            </w:r>
          </w:p>
        </w:tc>
        <w:tc>
          <w:tcPr>
            <w:tcW w:type="dxa" w:w="641"/>
            <w:tcBorders>
              <w:top w:val="nil"/>
              <w:left w:val="nil"/>
              <w:bottom w:val="nil"/>
              <w:right w:val="nil"/>
            </w:tcBorders>
          </w:tcPr>
          <w:p>
            <w:pPr>
              <w:pStyle w:val="tablecopy"/>
              <w:keepNext/>
              <w:spacing w:before="20" w:after="20"/>
              <w:jc w:val="right"/>
            </w:pPr>
            <w:r>
              <w:rPr/>
              <w:t>25%</w:t>
            </w:r>
          </w:p>
        </w:tc>
      </w:tr>
      <w:tr>
        <w:tc>
          <w:tcPr>
            <w:tcW w:type="dxa" w:w="3846"/>
            <w:tcBorders>
              <w:top w:val="nil"/>
              <w:left w:val="nil"/>
              <w:bottom w:val="nil"/>
              <w:right w:val="nil"/>
            </w:tcBorders>
          </w:tcPr>
          <w:p>
            <w:pPr>
              <w:pStyle w:val="tablecopy"/>
              <w:keepNext/>
              <w:spacing w:before="20" w:after="20"/>
              <w:jc w:val="left"/>
            </w:pPr>
            <w:r>
              <w:rPr/>
              <w:t>Out of scope (local, not extracted)</w:t>
            </w:r>
          </w:p>
        </w:tc>
        <w:tc>
          <w:tcPr>
            <w:tcW w:type="dxa" w:w="481"/>
            <w:tcBorders>
              <w:top w:val="nil"/>
              <w:left w:val="nil"/>
              <w:bottom w:val="nil"/>
              <w:right w:val="nil"/>
            </w:tcBorders>
          </w:tcPr>
          <w:p>
            <w:pPr>
              <w:pStyle w:val="tablecopy"/>
              <w:keepNext/>
              <w:spacing w:before="20" w:after="20"/>
              <w:jc w:val="right"/>
            </w:pPr>
            <w:r>
              <w:rPr/>
              <w:t>4</w:t>
            </w:r>
          </w:p>
        </w:tc>
        <w:tc>
          <w:tcPr>
            <w:tcW w:type="dxa" w:w="641"/>
            <w:tcBorders>
              <w:top w:val="nil"/>
              <w:left w:val="nil"/>
              <w:bottom w:val="nil"/>
              <w:right w:val="nil"/>
            </w:tcBorders>
          </w:tcPr>
          <w:p>
            <w:pPr>
              <w:pStyle w:val="tablecopy"/>
              <w:keepNext/>
              <w:spacing w:before="20" w:after="20"/>
              <w:jc w:val="right"/>
            </w:pPr>
            <w:r>
              <w:rPr/>
              <w:t>20%</w:t>
            </w:r>
          </w:p>
        </w:tc>
      </w:tr>
      <w:tr>
        <w:tc>
          <w:tcPr>
            <w:tcW w:type="dxa" w:w="3846"/>
            <w:tcBorders>
              <w:top w:val="nil"/>
              <w:left w:val="nil"/>
              <w:bottom w:val="nil"/>
              <w:right w:val="nil"/>
            </w:tcBorders>
          </w:tcPr>
          <w:p>
            <w:pPr>
              <w:pStyle w:val="tablecopy"/>
              <w:keepNext/>
              <w:spacing w:before="20" w:after="20"/>
              <w:jc w:val="left"/>
            </w:pPr>
            <w:r>
              <w:rPr/>
              <w:t>Chunk boundary</w:t>
            </w:r>
          </w:p>
        </w:tc>
        <w:tc>
          <w:tcPr>
            <w:tcW w:type="dxa" w:w="481"/>
            <w:tcBorders>
              <w:top w:val="nil"/>
              <w:left w:val="nil"/>
              <w:bottom w:val="nil"/>
              <w:right w:val="nil"/>
            </w:tcBorders>
          </w:tcPr>
          <w:p>
            <w:pPr>
              <w:pStyle w:val="tablecopy"/>
              <w:keepNext/>
              <w:spacing w:before="20" w:after="20"/>
              <w:jc w:val="right"/>
            </w:pPr>
            <w:r>
              <w:rPr/>
              <w:t>0</w:t>
            </w:r>
          </w:p>
        </w:tc>
        <w:tc>
          <w:tcPr>
            <w:tcW w:type="dxa" w:w="641"/>
            <w:tcBorders>
              <w:top w:val="nil"/>
              <w:left w:val="nil"/>
              <w:bottom w:val="nil"/>
              <w:right w:val="nil"/>
            </w:tcBorders>
          </w:tcPr>
          <w:p>
            <w:pPr>
              <w:pStyle w:val="tablecopy"/>
              <w:keepNext/>
              <w:spacing w:before="20" w:after="20"/>
              <w:jc w:val="right"/>
            </w:pPr>
            <w:r>
              <w:rPr/>
              <w:t>0%</w:t>
            </w:r>
          </w:p>
        </w:tc>
      </w:tr>
      <w:tr>
        <w:tc>
          <w:tcPr>
            <w:tcW w:type="dxa" w:w="3846"/>
            <w:tcBorders>
              <w:top w:val="nil"/>
              <w:left w:val="nil"/>
              <w:bottom w:val="single" w:sz="8" w:color="000000"/>
              <w:right w:val="nil"/>
            </w:tcBorders>
          </w:tcPr>
          <w:p>
            <w:pPr>
              <w:pStyle w:val="tablecopy"/>
              <w:spacing w:before="20" w:after="20"/>
              <w:jc w:val="left"/>
            </w:pPr>
            <w:r>
              <w:rPr/>
              <w:t>Hallucination</w:t>
            </w:r>
          </w:p>
        </w:tc>
        <w:tc>
          <w:tcPr>
            <w:tcW w:type="dxa" w:w="481"/>
            <w:tcBorders>
              <w:top w:val="nil"/>
              <w:left w:val="nil"/>
              <w:bottom w:val="single" w:sz="8" w:color="000000"/>
              <w:right w:val="nil"/>
            </w:tcBorders>
          </w:tcPr>
          <w:p>
            <w:pPr>
              <w:pStyle w:val="tablecopy"/>
              <w:spacing w:before="20" w:after="20"/>
              <w:jc w:val="right"/>
            </w:pPr>
            <w:r>
              <w:rPr/>
              <w:t>0</w:t>
            </w:r>
          </w:p>
        </w:tc>
        <w:tc>
          <w:tcPr>
            <w:tcW w:type="dxa" w:w="641"/>
            <w:tcBorders>
              <w:top w:val="nil"/>
              <w:left w:val="nil"/>
              <w:bottom w:val="single" w:sz="8" w:color="000000"/>
              <w:right w:val="nil"/>
            </w:tcBorders>
          </w:tcPr>
          <w:p>
            <w:pPr>
              <w:pStyle w:val="tablecopy"/>
              <w:spacing w:before="20" w:after="20"/>
              <w:jc w:val="right"/>
            </w:pPr>
            <w:r>
              <w:rPr/>
              <w:t>0%</w:t>
            </w:r>
          </w:p>
        </w:tc>
      </w:tr>
    </w:tbl>
    <w:p>
      <w:pPr>
        <w:spacing w:before="0" w:after="0" w:line="120" w:lineRule="exact"/>
      </w:pPr>
    </w:p>
    <w:p>
      <w:pPr>
        <w:pStyle w:val="BodyText"/>
      </w:pPr>
      <w:r>
        <w:rPr>
          <w:b/>
        </w:rPr>
        <w:t>Why the ceiling exists.</w:t>
      </w:r>
      <w:r>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pStyle w:val="Heading1"/>
      </w:pPr>
      <w:r>
        <w:rPr/>
        <w:t xml:space="preserve">VII. </w:t>
      </w:r>
      <w:r>
        <w:rPr/>
        <w:t>Comparative Analysis</w:t>
      </w:r>
    </w:p>
    <w:p>
      <w:pPr>
        <w:sectPr>
          <w:type w:val="continuous"/>
          <w:pgSz w:w="12240" w:h="15840"/>
          <w:pgMar w:top="1080" w:right="893" w:bottom="1440" w:left="893" w:header="720" w:footer="720" w:gutter="0"/>
          <w:cols w:space="360" w:num="2"/>
          <w:docGrid w:linePitch="360"/>
        </w:sectPr>
      </w:pPr>
    </w:p>
    <w:p>
      <w:pPr>
        <w:pStyle w:val="tablehead"/>
        <w:keepNext/>
        <w:spacing w:before="160" w:after="0"/>
      </w:pPr>
      <w:r>
        <w:rPr/>
        <w:t>TABLE VI</w:t>
      </w:r>
    </w:p>
    <w:p>
      <w:pPr>
        <w:pStyle w:val="tablehead"/>
        <w:keepNext/>
        <w:spacing w:before="0" w:after="80"/>
      </w:pPr>
      <w:r>
        <w:rPr/>
        <w:t xml:space="preserve">Comparative analysis on the five hand-labelled meetings. Rows marked </w:t>
      </w:r>
      <w:r>
        <w:rPr>
          <w:vertAlign w:val="superscript"/>
        </w:rPr>
        <w:t>†</w:t>
      </w:r>
      <w:r>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2248"/>
            <w:tcBorders>
              <w:top w:val="single" w:sz="8" w:color="000000"/>
              <w:left w:val="nil"/>
              <w:bottom w:val="single" w:sz="4" w:color="000000"/>
              <w:right w:val="nil"/>
            </w:tcBorders>
          </w:tcPr>
          <w:p>
            <w:pPr>
              <w:pStyle w:val="tablecopy"/>
              <w:keepNext/>
              <w:spacing w:before="20" w:after="20"/>
              <w:jc w:val="left"/>
            </w:pPr>
            <w:r>
              <w:rPr/>
              <w:t>Approach</w:t>
            </w:r>
          </w:p>
        </w:tc>
        <w:tc>
          <w:tcPr>
            <w:tcW w:type="dxa" w:w="1088"/>
            <w:tcBorders>
              <w:top w:val="single" w:sz="8" w:color="000000"/>
              <w:left w:val="nil"/>
              <w:bottom w:val="single" w:sz="4" w:color="000000"/>
              <w:right w:val="nil"/>
            </w:tcBorders>
          </w:tcPr>
          <w:p>
            <w:pPr>
              <w:pStyle w:val="tablecopy"/>
              <w:keepNext/>
              <w:spacing w:before="20" w:after="20"/>
              <w:jc w:val="right"/>
            </w:pPr>
            <w:r>
              <w:rPr/>
              <w:t>Compl. (lex)</w:t>
            </w:r>
          </w:p>
        </w:tc>
        <w:tc>
          <w:tcPr>
            <w:tcW w:type="dxa" w:w="1088"/>
            <w:tcBorders>
              <w:top w:val="single" w:sz="8" w:color="000000"/>
              <w:left w:val="nil"/>
              <w:bottom w:val="single" w:sz="4" w:color="000000"/>
              <w:right w:val="nil"/>
            </w:tcBorders>
          </w:tcPr>
          <w:p>
            <w:pPr>
              <w:pStyle w:val="tablecopy"/>
              <w:keepNext/>
              <w:spacing w:before="20" w:after="20"/>
              <w:jc w:val="right"/>
            </w:pPr>
            <w:r>
              <w:rPr/>
              <w:t>Compl. (sem)</w:t>
            </w:r>
          </w:p>
        </w:tc>
        <w:tc>
          <w:tcPr>
            <w:tcW w:type="dxa" w:w="1523"/>
            <w:tcBorders>
              <w:top w:val="single" w:sz="8" w:color="000000"/>
              <w:left w:val="nil"/>
              <w:bottom w:val="single" w:sz="4" w:color="000000"/>
              <w:right w:val="nil"/>
            </w:tcBorders>
          </w:tcPr>
          <w:p>
            <w:pPr>
              <w:pStyle w:val="tablecopy"/>
              <w:keepNext/>
              <w:spacing w:before="20" w:after="20"/>
              <w:jc w:val="right"/>
            </w:pPr>
            <w:r>
              <w:rPr/>
              <w:t>Unsupp. quotes</w:t>
            </w:r>
          </w:p>
        </w:tc>
        <w:tc>
          <w:tcPr>
            <w:tcW w:type="dxa" w:w="4278"/>
            <w:tcBorders>
              <w:top w:val="single" w:sz="8" w:color="000000"/>
              <w:left w:val="nil"/>
              <w:bottom w:val="single" w:sz="4" w:color="000000"/>
              <w:right w:val="nil"/>
            </w:tcBorders>
          </w:tcPr>
          <w:p>
            <w:pPr>
              <w:pStyle w:val="tablecopy"/>
              <w:keepNext/>
              <w:spacing w:before="20" w:after="20"/>
              <w:jc w:val="left"/>
            </w:pPr>
            <w:r>
              <w:rPr/>
              <w:t>Core failure reason</w:t>
            </w:r>
          </w:p>
        </w:tc>
      </w:tr>
      <w:tr>
        <w:tc>
          <w:tcPr>
            <w:tcW w:type="dxa" w:w="2248"/>
            <w:tcBorders>
              <w:top w:val="nil"/>
              <w:left w:val="nil"/>
              <w:bottom w:val="nil"/>
              <w:right w:val="nil"/>
            </w:tcBorders>
          </w:tcPr>
          <w:p>
            <w:pPr>
              <w:pStyle w:val="tablecopy"/>
              <w:keepNext/>
              <w:spacing w:before="20" w:after="20"/>
              <w:jc w:val="left"/>
            </w:pPr>
            <w:r>
              <w:rPr/>
              <w:t>EDIA pipeline</w:t>
            </w:r>
          </w:p>
        </w:tc>
        <w:tc>
          <w:tcPr>
            <w:tcW w:type="dxa" w:w="1088"/>
            <w:tcBorders>
              <w:top w:val="nil"/>
              <w:left w:val="nil"/>
              <w:bottom w:val="nil"/>
              <w:right w:val="nil"/>
            </w:tcBorders>
          </w:tcPr>
          <w:p>
            <w:pPr>
              <w:pStyle w:val="tablecopy"/>
              <w:keepNext/>
              <w:spacing w:before="20" w:after="20"/>
              <w:jc w:val="right"/>
            </w:pPr>
            <w:r>
              <w:rPr/>
              <w:t>33.3%</w:t>
            </w:r>
          </w:p>
        </w:tc>
        <w:tc>
          <w:tcPr>
            <w:tcW w:type="dxa" w:w="1088"/>
            <w:tcBorders>
              <w:top w:val="nil"/>
              <w:left w:val="nil"/>
              <w:bottom w:val="nil"/>
              <w:right w:val="nil"/>
            </w:tcBorders>
          </w:tcPr>
          <w:p>
            <w:pPr>
              <w:pStyle w:val="tablecopy"/>
              <w:keepNext/>
              <w:spacing w:before="20" w:after="20"/>
              <w:jc w:val="right"/>
            </w:pPr>
            <w:r>
              <w:rPr/>
              <w:t>58.3%</w:t>
            </w:r>
          </w:p>
        </w:tc>
        <w:tc>
          <w:tcPr>
            <w:tcW w:type="dxa" w:w="1523"/>
            <w:tcBorders>
              <w:top w:val="nil"/>
              <w:left w:val="nil"/>
              <w:bottom w:val="nil"/>
              <w:right w:val="nil"/>
            </w:tcBorders>
          </w:tcPr>
          <w:p>
            <w:pPr>
              <w:pStyle w:val="tablecopy"/>
              <w:keepNext/>
              <w:spacing w:before="20" w:after="20"/>
              <w:jc w:val="right"/>
            </w:pPr>
            <w:r>
              <w:rPr/>
              <w:t>16.4%</w:t>
            </w:r>
          </w:p>
        </w:tc>
        <w:tc>
          <w:tcPr>
            <w:tcW w:type="dxa" w:w="4278"/>
            <w:tcBorders>
              <w:top w:val="nil"/>
              <w:left w:val="nil"/>
              <w:bottom w:val="nil"/>
              <w:right w:val="nil"/>
            </w:tcBorders>
          </w:tcPr>
          <w:p>
            <w:pPr>
              <w:pStyle w:val="tablecopy"/>
              <w:keepNext/>
              <w:spacing w:before="20" w:after="20"/>
              <w:jc w:val="left"/>
            </w:pPr>
            <w:r>
              <w:rPr/>
              <w:t>Multi-hop reasoning across chunks</w:t>
            </w:r>
          </w:p>
        </w:tc>
      </w:tr>
      <w:tr>
        <w:tc>
          <w:tcPr>
            <w:tcW w:type="dxa" w:w="2248"/>
            <w:tcBorders>
              <w:top w:val="nil"/>
              <w:left w:val="nil"/>
              <w:bottom w:val="nil"/>
              <w:right w:val="nil"/>
            </w:tcBorders>
          </w:tcPr>
          <w:p>
            <w:pPr>
              <w:pStyle w:val="tablecopy"/>
              <w:keepNext/>
              <w:spacing w:before="20" w:after="20"/>
              <w:jc w:val="left"/>
            </w:pPr>
            <w:r>
              <w:rPr/>
              <w:t>EDIA pipeline, same runtime</w:t>
            </w:r>
            <w:r>
              <w:rPr>
                <w:vertAlign w:val="superscript"/>
              </w:rPr>
              <w:t>†</w:t>
            </w:r>
          </w:p>
        </w:tc>
        <w:tc>
          <w:tcPr>
            <w:tcW w:type="dxa" w:w="1088"/>
            <w:tcBorders>
              <w:top w:val="nil"/>
              <w:left w:val="nil"/>
              <w:bottom w:val="nil"/>
              <w:right w:val="nil"/>
            </w:tcBorders>
          </w:tcPr>
          <w:p>
            <w:pPr>
              <w:pStyle w:val="tablecopy"/>
              <w:keepNext/>
              <w:spacing w:before="20" w:after="20"/>
              <w:jc w:val="right"/>
            </w:pPr>
            <w:r>
              <w:rPr/>
              <w:t>27.1%</w:t>
            </w:r>
          </w:p>
        </w:tc>
        <w:tc>
          <w:tcPr>
            <w:tcW w:type="dxa" w:w="1088"/>
            <w:tcBorders>
              <w:top w:val="nil"/>
              <w:left w:val="nil"/>
              <w:bottom w:val="nil"/>
              <w:right w:val="nil"/>
            </w:tcBorders>
          </w:tcPr>
          <w:p>
            <w:pPr>
              <w:pStyle w:val="tablecopy"/>
              <w:keepNext/>
              <w:spacing w:before="20" w:after="20"/>
              <w:jc w:val="right"/>
            </w:pPr>
            <w:r>
              <w:rPr/>
              <w:t>58.3%</w:t>
            </w:r>
          </w:p>
        </w:tc>
        <w:tc>
          <w:tcPr>
            <w:tcW w:type="dxa" w:w="1523"/>
            <w:tcBorders>
              <w:top w:val="nil"/>
              <w:left w:val="nil"/>
              <w:bottom w:val="nil"/>
              <w:right w:val="nil"/>
            </w:tcBorders>
          </w:tcPr>
          <w:p>
            <w:pPr>
              <w:pStyle w:val="tablecopy"/>
              <w:keepNext/>
              <w:spacing w:before="20" w:after="20"/>
              <w:jc w:val="right"/>
            </w:pPr>
            <w:r>
              <w:rPr/>
              <w:t>14.1%</w:t>
            </w:r>
          </w:p>
        </w:tc>
        <w:tc>
          <w:tcPr>
            <w:tcW w:type="dxa" w:w="4278"/>
            <w:tcBorders>
              <w:top w:val="nil"/>
              <w:left w:val="nil"/>
              <w:bottom w:val="nil"/>
              <w:right w:val="nil"/>
            </w:tcBorders>
          </w:tcPr>
          <w:p>
            <w:pPr>
              <w:pStyle w:val="tablecopy"/>
              <w:keepNext/>
              <w:spacing w:before="20" w:after="20"/>
              <w:jc w:val="left"/>
            </w:pPr>
            <w:r>
              <w:rPr/>
              <w:t>(runtime change alone moves lexical completeness)</w:t>
            </w:r>
          </w:p>
        </w:tc>
      </w:tr>
      <w:tr>
        <w:tc>
          <w:tcPr>
            <w:tcW w:type="dxa" w:w="2248"/>
            <w:tcBorders>
              <w:top w:val="nil"/>
              <w:left w:val="nil"/>
              <w:bottom w:val="nil"/>
              <w:right w:val="nil"/>
            </w:tcBorders>
          </w:tcPr>
          <w:p>
            <w:pPr>
              <w:pStyle w:val="tablecopy"/>
              <w:keepNext/>
              <w:spacing w:before="20" w:after="20"/>
              <w:jc w:val="left"/>
            </w:pPr>
            <w:r>
              <w:rPr/>
              <w:t>EDIA + chain-of-thought</w:t>
            </w:r>
            <w:r>
              <w:rPr>
                <w:vertAlign w:val="superscript"/>
              </w:rPr>
              <w:t>†</w:t>
            </w:r>
          </w:p>
        </w:tc>
        <w:tc>
          <w:tcPr>
            <w:tcW w:type="dxa" w:w="1088"/>
            <w:tcBorders>
              <w:top w:val="nil"/>
              <w:left w:val="nil"/>
              <w:bottom w:val="nil"/>
              <w:right w:val="nil"/>
            </w:tcBorders>
          </w:tcPr>
          <w:p>
            <w:pPr>
              <w:pStyle w:val="tablecopy"/>
              <w:keepNext/>
              <w:spacing w:before="20" w:after="20"/>
              <w:jc w:val="right"/>
            </w:pPr>
            <w:r>
              <w:rPr/>
              <w:t>33.3%</w:t>
            </w:r>
          </w:p>
        </w:tc>
        <w:tc>
          <w:tcPr>
            <w:tcW w:type="dxa" w:w="1088"/>
            <w:tcBorders>
              <w:top w:val="nil"/>
              <w:left w:val="nil"/>
              <w:bottom w:val="nil"/>
              <w:right w:val="nil"/>
            </w:tcBorders>
          </w:tcPr>
          <w:p>
            <w:pPr>
              <w:pStyle w:val="tablecopy"/>
              <w:keepNext/>
              <w:spacing w:before="20" w:after="20"/>
              <w:jc w:val="right"/>
            </w:pPr>
            <w:r>
              <w:rPr/>
              <w:t>62.5%</w:t>
            </w:r>
          </w:p>
        </w:tc>
        <w:tc>
          <w:tcPr>
            <w:tcW w:type="dxa" w:w="1523"/>
            <w:tcBorders>
              <w:top w:val="nil"/>
              <w:left w:val="nil"/>
              <w:bottom w:val="nil"/>
              <w:right w:val="nil"/>
            </w:tcBorders>
          </w:tcPr>
          <w:p>
            <w:pPr>
              <w:pStyle w:val="tablecopy"/>
              <w:keepNext/>
              <w:spacing w:before="20" w:after="20"/>
              <w:jc w:val="right"/>
            </w:pPr>
            <w:r>
              <w:rPr/>
              <w:t>13.9%</w:t>
            </w:r>
          </w:p>
        </w:tc>
        <w:tc>
          <w:tcPr>
            <w:tcW w:type="dxa" w:w="4278"/>
            <w:tcBorders>
              <w:top w:val="nil"/>
              <w:left w:val="nil"/>
              <w:bottom w:val="nil"/>
              <w:right w:val="nil"/>
            </w:tcBorders>
          </w:tcPr>
          <w:p>
            <w:pPr>
              <w:pStyle w:val="tablecopy"/>
              <w:keepNext/>
              <w:spacing w:before="20" w:after="20"/>
              <w:jc w:val="left"/>
            </w:pPr>
            <w:r>
              <w:rPr/>
              <w:t>Better reasoning over content in view, not retrieval</w:t>
            </w:r>
          </w:p>
        </w:tc>
      </w:tr>
      <w:tr>
        <w:tc>
          <w:tcPr>
            <w:tcW w:type="dxa" w:w="2248"/>
            <w:tcBorders>
              <w:top w:val="nil"/>
              <w:left w:val="nil"/>
              <w:bottom w:val="nil"/>
              <w:right w:val="nil"/>
            </w:tcBorders>
          </w:tcPr>
          <w:p>
            <w:pPr>
              <w:pStyle w:val="tablecopy"/>
              <w:keepNext/>
              <w:spacing w:before="20" w:after="20"/>
              <w:jc w:val="left"/>
            </w:pPr>
            <w:r>
              <w:rPr/>
              <w:t>GraphRAG (local search)</w:t>
            </w:r>
            <w:r>
              <w:rPr>
                <w:vertAlign w:val="superscript"/>
              </w:rPr>
              <w:t>†</w:t>
            </w:r>
          </w:p>
        </w:tc>
        <w:tc>
          <w:tcPr>
            <w:tcW w:type="dxa" w:w="1088"/>
            <w:tcBorders>
              <w:top w:val="nil"/>
              <w:left w:val="nil"/>
              <w:bottom w:val="nil"/>
              <w:right w:val="nil"/>
            </w:tcBorders>
          </w:tcPr>
          <w:p>
            <w:pPr>
              <w:pStyle w:val="tablecopy"/>
              <w:keepNext/>
              <w:spacing w:before="20" w:after="20"/>
              <w:jc w:val="right"/>
            </w:pPr>
            <w:r>
              <w:rPr/>
              <w:t>4.2%</w:t>
            </w:r>
          </w:p>
        </w:tc>
        <w:tc>
          <w:tcPr>
            <w:tcW w:type="dxa" w:w="1088"/>
            <w:tcBorders>
              <w:top w:val="nil"/>
              <w:left w:val="nil"/>
              <w:bottom w:val="nil"/>
              <w:right w:val="nil"/>
            </w:tcBorders>
          </w:tcPr>
          <w:p>
            <w:pPr>
              <w:pStyle w:val="tablecopy"/>
              <w:keepNext/>
              <w:spacing w:before="20" w:after="20"/>
              <w:jc w:val="right"/>
            </w:pPr>
            <w:r>
              <w:rPr/>
              <w:t>14.6–18.8%</w:t>
            </w:r>
          </w:p>
        </w:tc>
        <w:tc>
          <w:tcPr>
            <w:tcW w:type="dxa" w:w="1523"/>
            <w:tcBorders>
              <w:top w:val="nil"/>
              <w:left w:val="nil"/>
              <w:bottom w:val="nil"/>
              <w:right w:val="nil"/>
            </w:tcBorders>
          </w:tcPr>
          <w:p>
            <w:pPr>
              <w:pStyle w:val="tablecopy"/>
              <w:keepNext/>
              <w:spacing w:before="20" w:after="20"/>
              <w:jc w:val="right"/>
            </w:pPr>
            <w:r>
              <w:rPr/>
              <w:t>–</w:t>
            </w:r>
          </w:p>
        </w:tc>
        <w:tc>
          <w:tcPr>
            <w:tcW w:type="dxa" w:w="4278"/>
            <w:tcBorders>
              <w:top w:val="nil"/>
              <w:left w:val="nil"/>
              <w:bottom w:val="nil"/>
              <w:right w:val="nil"/>
            </w:tcBorders>
          </w:tcPr>
          <w:p>
            <w:pPr>
              <w:pStyle w:val="tablecopy"/>
              <w:keepNext/>
              <w:spacing w:before="20" w:after="20"/>
              <w:jc w:val="left"/>
            </w:pPr>
            <w:r>
              <w:rPr/>
              <w:t>Entity graph built for structured text, not conversation</w:t>
            </w:r>
          </w:p>
        </w:tc>
      </w:tr>
      <w:tr>
        <w:tc>
          <w:tcPr>
            <w:tcW w:type="dxa" w:w="2248"/>
            <w:tcBorders>
              <w:top w:val="nil"/>
              <w:left w:val="nil"/>
              <w:bottom w:val="single" w:sz="8" w:color="000000"/>
              <w:right w:val="nil"/>
            </w:tcBorders>
          </w:tcPr>
          <w:p>
            <w:pPr>
              <w:pStyle w:val="tablecopy"/>
              <w:spacing w:before="20" w:after="20"/>
              <w:jc w:val="left"/>
            </w:pPr>
            <w:r>
              <w:rPr/>
              <w:t>Multi-hop retrieval</w:t>
            </w:r>
          </w:p>
        </w:tc>
        <w:tc>
          <w:tcPr>
            <w:tcW w:type="dxa" w:w="1088"/>
            <w:tcBorders>
              <w:top w:val="nil"/>
              <w:left w:val="nil"/>
              <w:bottom w:val="single" w:sz="8" w:color="000000"/>
              <w:right w:val="nil"/>
            </w:tcBorders>
          </w:tcPr>
          <w:p>
            <w:pPr>
              <w:pStyle w:val="tablecopy"/>
              <w:spacing w:before="20" w:after="20"/>
              <w:jc w:val="right"/>
            </w:pPr>
            <w:r>
              <w:rPr/>
              <w:t>0.0%</w:t>
            </w:r>
          </w:p>
        </w:tc>
        <w:tc>
          <w:tcPr>
            <w:tcW w:type="dxa" w:w="1088"/>
            <w:tcBorders>
              <w:top w:val="nil"/>
              <w:left w:val="nil"/>
              <w:bottom w:val="single" w:sz="8" w:color="000000"/>
              <w:right w:val="nil"/>
            </w:tcBorders>
          </w:tcPr>
          <w:p>
            <w:pPr>
              <w:pStyle w:val="tablecopy"/>
              <w:spacing w:before="20" w:after="20"/>
              <w:jc w:val="right"/>
            </w:pPr>
            <w:r>
              <w:rPr/>
              <w:t>12.8%</w:t>
            </w:r>
          </w:p>
        </w:tc>
        <w:tc>
          <w:tcPr>
            <w:tcW w:type="dxa" w:w="1523"/>
            <w:tcBorders>
              <w:top w:val="nil"/>
              <w:left w:val="nil"/>
              <w:bottom w:val="single" w:sz="8" w:color="000000"/>
              <w:right w:val="nil"/>
            </w:tcBorders>
          </w:tcPr>
          <w:p>
            <w:pPr>
              <w:pStyle w:val="tablecopy"/>
              <w:spacing w:before="20" w:after="20"/>
              <w:jc w:val="right"/>
            </w:pPr>
            <w:r>
              <w:rPr/>
              <w:t>0 (retrieves only)</w:t>
            </w:r>
          </w:p>
        </w:tc>
        <w:tc>
          <w:tcPr>
            <w:tcW w:type="dxa" w:w="4278"/>
            <w:tcBorders>
              <w:top w:val="nil"/>
              <w:left w:val="nil"/>
              <w:bottom w:val="single" w:sz="8" w:color="000000"/>
              <w:right w:val="nil"/>
            </w:tcBorders>
          </w:tcPr>
          <w:p>
            <w:pPr>
              <w:pStyle w:val="tablecopy"/>
              <w:spacing w:before="20" w:after="20"/>
              <w:jc w:val="left"/>
            </w:pPr>
            <w:r>
              <w:rPr/>
              <w:t>Chain unknown in advance; hop 1 fails first</w:t>
            </w:r>
          </w:p>
        </w:tc>
      </w:tr>
    </w:tbl>
    <w:p>
      <w:pPr>
        <w:spacing w:before="0" w:after="0" w:line="120" w:lineRule="exact"/>
      </w:pPr>
    </w:p>
    <w:p>
      <w:pPr>
        <w:sectPr>
          <w:type w:val="continuous"/>
          <w:pgSz w:w="12240" w:h="15840"/>
          <w:pgMar w:top="1080" w:right="893" w:bottom="1440" w:left="893" w:header="720" w:footer="720" w:gutter="0"/>
          <w:cols w:space="360" w:num="1"/>
          <w:docGrid w:linePitch="360"/>
        </w:sectPr>
      </w:pPr>
    </w:p>
    <w:p>
      <w:pPr>
        <w:pStyle w:val="BodyText"/>
      </w:pPr>
      <w:r>
        <w:rPr/>
        <w:t>Table VI compares EDIA with three alternatives on the gold meetings, using the same model (Mistral 7B) wherever a model is involved.</w:t>
      </w:r>
    </w:p>
    <w:p>
      <w:pPr>
        <w:pStyle w:val="BodyText"/>
      </w:pPr>
      <w:r>
        <w:rPr>
          <w:b/>
        </w:rPr>
        <w:t>Chain-of-thought.</w:t>
      </w:r>
      <w:r>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Precision bears this out (Table VII): against the same-runtime baseline, CoT’s semantic precision falls from 13.6% to 10.7% and its F1 from 22.0% to 18.3%, so the recall gain does not survive once the extra output is counted. The effect is small in any case, as expected if the bottleneck is locating scattered content rather than reasoning about content already in view.</w:t>
      </w:r>
    </w:p>
    <w:p>
      <w:pPr>
        <w:pStyle w:val="BodyText"/>
      </w:pPr>
      <w:r>
        <w:rPr>
          <w:b/>
        </w:rPr>
        <w:t>GraphRAG.</w:t>
      </w:r>
      <w:r>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pStyle w:val="BodyText"/>
      </w:pPr>
      <w:r>
        <w:rPr>
          <w:b/>
        </w:rPr>
        <w:t>Multi-hop retrieval.</w:t>
      </w:r>
      <w:r>
        <w:rPr/>
        <w:t xml:space="preserve"> Following a three-hop chain (rationale, then alternatives conditioned on the rationale, then objections) with TF-IDF retrieval over transcript turns, and given the true decisions as input, the method recovers none of the non-decision elements under lexical matching and 12.8% under semantic matching. We score only what it retrieves: the decision text it is handed often resembles the gold rationale, and counting those matches would credit the method with its own input (doing so would report 12.8% and 28.2%). Lexical matching gives zero because a retrieved turn is long and the gold element short, so their token overlap rarely clears the threshold. The first hop retrieves by similarity to the decision text before anything about </w:t>
      </w:r>
      <w:r>
        <w:rPr>
          <w:i/>
        </w:rPr>
        <w:t>why</w:t>
      </w:r>
      <w:r>
        <w:rPr/>
        <w:t xml:space="preserve"> is known, so it often returns adjacent-topic turns, and later hops compound the error.</w:t>
      </w:r>
    </w:p>
    <w:p>
      <w:pPr>
        <w:pStyle w:val="tablehead"/>
        <w:keepNext/>
        <w:spacing w:before="160" w:after="0"/>
      </w:pPr>
      <w:r>
        <w:rPr/>
        <w:t>TABLE VII</w:t>
      </w:r>
    </w:p>
    <w:p>
      <w:pPr>
        <w:pStyle w:val="tablehead"/>
        <w:keepNext/>
        <w:spacing w:before="0" w:after="80"/>
      </w:pPr>
      <w:r>
        <w:rPr/>
        <w:t xml:space="preserve">Precision, recall and F1 of the extracted elements on the five hand-labelled meetings (lexical / semantic matching, same thresholds as completeness; recall is completeness). Precision is a lower bound: the hand labels are not exhaustive. </w:t>
      </w:r>
      <w:r>
        <w:rPr>
          <w:vertAlign w:val="superscript"/>
        </w:rPr>
        <w:t>†</w:t>
      </w:r>
      <w:r>
        <w:rPr/>
        <w:t xml:space="preserve"> as in Table VI.</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91"/>
        <w:gridCol w:w="2091"/>
        <w:gridCol w:w="2091"/>
        <w:gridCol w:w="2091"/>
        <w:gridCol w:w="2091"/>
      </w:tblGrid>
      <w:tr>
        <w:tc>
          <w:tcPr>
            <w:tcW w:type="dxa" w:w="1497"/>
            <w:tcBorders>
              <w:top w:val="single" w:sz="8" w:color="000000"/>
              <w:left w:val="nil"/>
              <w:bottom w:val="single" w:sz="4" w:color="000000"/>
              <w:right w:val="nil"/>
            </w:tcBorders>
          </w:tcPr>
          <w:p>
            <w:pPr>
              <w:pStyle w:val="tablecopy"/>
              <w:keepNext/>
              <w:spacing w:before="20" w:after="20"/>
              <w:jc w:val="left"/>
            </w:pPr>
            <w:r>
              <w:rPr/>
              <w:t>Approach</w:t>
            </w:r>
          </w:p>
        </w:tc>
        <w:tc>
          <w:tcPr>
            <w:tcW w:type="dxa" w:w="749"/>
            <w:tcBorders>
              <w:top w:val="single" w:sz="8" w:color="000000"/>
              <w:left w:val="nil"/>
              <w:bottom w:val="single" w:sz="4" w:color="000000"/>
              <w:right w:val="nil"/>
            </w:tcBorders>
          </w:tcPr>
          <w:p>
            <w:pPr>
              <w:pStyle w:val="tablecopy"/>
              <w:keepNext/>
              <w:spacing w:before="20" w:after="20"/>
              <w:jc w:val="right"/>
            </w:pPr>
            <w:r>
              <w:rPr/>
              <w:t>Elements</w:t>
            </w:r>
          </w:p>
        </w:tc>
        <w:tc>
          <w:tcPr>
            <w:tcW w:type="dxa" w:w="885"/>
            <w:tcBorders>
              <w:top w:val="single" w:sz="8" w:color="000000"/>
              <w:left w:val="nil"/>
              <w:bottom w:val="single" w:sz="4" w:color="000000"/>
              <w:right w:val="nil"/>
            </w:tcBorders>
          </w:tcPr>
          <w:p>
            <w:pPr>
              <w:pStyle w:val="tablecopy"/>
              <w:keepNext/>
              <w:spacing w:before="20" w:after="20"/>
              <w:jc w:val="right"/>
            </w:pPr>
            <w:r>
              <w:rPr/>
              <w:t>P</w:t>
            </w:r>
          </w:p>
        </w:tc>
        <w:tc>
          <w:tcPr>
            <w:tcW w:type="dxa" w:w="953"/>
            <w:tcBorders>
              <w:top w:val="single" w:sz="8" w:color="000000"/>
              <w:left w:val="nil"/>
              <w:bottom w:val="single" w:sz="4" w:color="000000"/>
              <w:right w:val="nil"/>
            </w:tcBorders>
          </w:tcPr>
          <w:p>
            <w:pPr>
              <w:pStyle w:val="tablecopy"/>
              <w:keepNext/>
              <w:spacing w:before="20" w:after="20"/>
              <w:jc w:val="right"/>
            </w:pPr>
            <w:r>
              <w:rPr/>
              <w:t>R</w:t>
            </w:r>
          </w:p>
        </w:tc>
        <w:tc>
          <w:tcPr>
            <w:tcW w:type="dxa" w:w="885"/>
            <w:tcBorders>
              <w:top w:val="single" w:sz="8" w:color="000000"/>
              <w:left w:val="nil"/>
              <w:bottom w:val="single" w:sz="4" w:color="000000"/>
              <w:right w:val="nil"/>
            </w:tcBorders>
          </w:tcPr>
          <w:p>
            <w:pPr>
              <w:pStyle w:val="tablecopy"/>
              <w:keepNext/>
              <w:spacing w:before="20" w:after="20"/>
              <w:jc w:val="right"/>
            </w:pPr>
            <w:r>
              <w:rPr/>
              <w:t>F1</w:t>
            </w:r>
          </w:p>
        </w:tc>
      </w:tr>
      <w:tr>
        <w:tc>
          <w:tcPr>
            <w:tcW w:type="dxa" w:w="1497"/>
            <w:tcBorders>
              <w:top w:val="nil"/>
              <w:left w:val="nil"/>
              <w:bottom w:val="nil"/>
              <w:right w:val="nil"/>
            </w:tcBorders>
          </w:tcPr>
          <w:p>
            <w:pPr>
              <w:pStyle w:val="tablecopy"/>
              <w:keepNext/>
              <w:spacing w:before="20" w:after="20"/>
              <w:jc w:val="left"/>
            </w:pPr>
            <w:r>
              <w:rPr/>
              <w:t>EDIA</w:t>
            </w:r>
          </w:p>
        </w:tc>
        <w:tc>
          <w:tcPr>
            <w:tcW w:type="dxa" w:w="749"/>
            <w:tcBorders>
              <w:top w:val="nil"/>
              <w:left w:val="nil"/>
              <w:bottom w:val="nil"/>
              <w:right w:val="nil"/>
            </w:tcBorders>
          </w:tcPr>
          <w:p>
            <w:pPr>
              <w:pStyle w:val="tablecopy"/>
              <w:keepNext/>
              <w:spacing w:before="20" w:after="20"/>
              <w:jc w:val="right"/>
            </w:pPr>
            <w:r>
              <w:rPr/>
              <w:t>398</w:t>
            </w:r>
          </w:p>
        </w:tc>
        <w:tc>
          <w:tcPr>
            <w:tcW w:type="dxa" w:w="885"/>
            <w:tcBorders>
              <w:top w:val="nil"/>
              <w:left w:val="nil"/>
              <w:bottom w:val="nil"/>
              <w:right w:val="nil"/>
            </w:tcBorders>
          </w:tcPr>
          <w:p>
            <w:pPr>
              <w:pStyle w:val="tablecopy"/>
              <w:keepNext/>
              <w:spacing w:before="20" w:after="20"/>
              <w:jc w:val="right"/>
            </w:pPr>
            <w:r>
              <w:rPr/>
              <w:t>4.8 / 13.8</w:t>
            </w:r>
          </w:p>
        </w:tc>
        <w:tc>
          <w:tcPr>
            <w:tcW w:type="dxa" w:w="953"/>
            <w:tcBorders>
              <w:top w:val="nil"/>
              <w:left w:val="nil"/>
              <w:bottom w:val="nil"/>
              <w:right w:val="nil"/>
            </w:tcBorders>
          </w:tcPr>
          <w:p>
            <w:pPr>
              <w:pStyle w:val="tablecopy"/>
              <w:keepNext/>
              <w:spacing w:before="20" w:after="20"/>
              <w:jc w:val="right"/>
            </w:pPr>
            <w:r>
              <w:rPr/>
              <w:t>33.3 / 58.3</w:t>
            </w:r>
          </w:p>
        </w:tc>
        <w:tc>
          <w:tcPr>
            <w:tcW w:type="dxa" w:w="885"/>
            <w:tcBorders>
              <w:top w:val="nil"/>
              <w:left w:val="nil"/>
              <w:bottom w:val="nil"/>
              <w:right w:val="nil"/>
            </w:tcBorders>
          </w:tcPr>
          <w:p>
            <w:pPr>
              <w:pStyle w:val="tablecopy"/>
              <w:keepNext/>
              <w:spacing w:before="20" w:after="20"/>
              <w:jc w:val="right"/>
            </w:pPr>
            <w:r>
              <w:rPr/>
              <w:t xml:space="preserve">8.4 / </w:t>
            </w:r>
            <w:r>
              <w:rPr>
                <w:b/>
              </w:rPr>
              <w:t>22.3</w:t>
            </w:r>
          </w:p>
        </w:tc>
      </w:tr>
      <w:tr>
        <w:tc>
          <w:tcPr>
            <w:tcW w:type="dxa" w:w="1497"/>
            <w:tcBorders>
              <w:top w:val="nil"/>
              <w:left w:val="nil"/>
              <w:bottom w:val="nil"/>
              <w:right w:val="nil"/>
            </w:tcBorders>
          </w:tcPr>
          <w:p>
            <w:pPr>
              <w:pStyle w:val="tablecopy"/>
              <w:keepNext/>
              <w:spacing w:before="20" w:after="20"/>
              <w:jc w:val="left"/>
            </w:pPr>
            <w:r>
              <w:rPr/>
              <w:t>EDIA, same runtime</w:t>
            </w:r>
            <w:r>
              <w:rPr>
                <w:vertAlign w:val="superscript"/>
              </w:rPr>
              <w:t>†</w:t>
            </w:r>
          </w:p>
        </w:tc>
        <w:tc>
          <w:tcPr>
            <w:tcW w:type="dxa" w:w="749"/>
            <w:tcBorders>
              <w:top w:val="nil"/>
              <w:left w:val="nil"/>
              <w:bottom w:val="nil"/>
              <w:right w:val="nil"/>
            </w:tcBorders>
          </w:tcPr>
          <w:p>
            <w:pPr>
              <w:pStyle w:val="tablecopy"/>
              <w:keepNext/>
              <w:spacing w:before="20" w:after="20"/>
              <w:jc w:val="right"/>
            </w:pPr>
            <w:r>
              <w:rPr/>
              <w:t>346</w:t>
            </w:r>
          </w:p>
        </w:tc>
        <w:tc>
          <w:tcPr>
            <w:tcW w:type="dxa" w:w="885"/>
            <w:tcBorders>
              <w:top w:val="nil"/>
              <w:left w:val="nil"/>
              <w:bottom w:val="nil"/>
              <w:right w:val="nil"/>
            </w:tcBorders>
          </w:tcPr>
          <w:p>
            <w:pPr>
              <w:pStyle w:val="tablecopy"/>
              <w:keepNext/>
              <w:spacing w:before="20" w:after="20"/>
              <w:jc w:val="right"/>
            </w:pPr>
            <w:r>
              <w:rPr/>
              <w:t>4.9 / 13.6</w:t>
            </w:r>
          </w:p>
        </w:tc>
        <w:tc>
          <w:tcPr>
            <w:tcW w:type="dxa" w:w="953"/>
            <w:tcBorders>
              <w:top w:val="nil"/>
              <w:left w:val="nil"/>
              <w:bottom w:val="nil"/>
              <w:right w:val="nil"/>
            </w:tcBorders>
          </w:tcPr>
          <w:p>
            <w:pPr>
              <w:pStyle w:val="tablecopy"/>
              <w:keepNext/>
              <w:spacing w:before="20" w:after="20"/>
              <w:jc w:val="right"/>
            </w:pPr>
            <w:r>
              <w:rPr/>
              <w:t>27.1 / 58.3</w:t>
            </w:r>
          </w:p>
        </w:tc>
        <w:tc>
          <w:tcPr>
            <w:tcW w:type="dxa" w:w="885"/>
            <w:tcBorders>
              <w:top w:val="nil"/>
              <w:left w:val="nil"/>
              <w:bottom w:val="nil"/>
              <w:right w:val="nil"/>
            </w:tcBorders>
          </w:tcPr>
          <w:p>
            <w:pPr>
              <w:pStyle w:val="tablecopy"/>
              <w:keepNext/>
              <w:spacing w:before="20" w:after="20"/>
              <w:jc w:val="right"/>
            </w:pPr>
            <w:r>
              <w:rPr/>
              <w:t>8.3 / 22.0</w:t>
            </w:r>
          </w:p>
        </w:tc>
      </w:tr>
      <w:tr>
        <w:tc>
          <w:tcPr>
            <w:tcW w:type="dxa" w:w="1497"/>
            <w:tcBorders>
              <w:top w:val="nil"/>
              <w:left w:val="nil"/>
              <w:bottom w:val="nil"/>
              <w:right w:val="nil"/>
            </w:tcBorders>
          </w:tcPr>
          <w:p>
            <w:pPr>
              <w:pStyle w:val="tablecopy"/>
              <w:keepNext/>
              <w:spacing w:before="20" w:after="20"/>
              <w:jc w:val="left"/>
            </w:pPr>
            <w:r>
              <w:rPr/>
              <w:t>EDIA + CoT</w:t>
            </w:r>
            <w:r>
              <w:rPr>
                <w:vertAlign w:val="superscript"/>
              </w:rPr>
              <w:t>†</w:t>
            </w:r>
          </w:p>
        </w:tc>
        <w:tc>
          <w:tcPr>
            <w:tcW w:type="dxa" w:w="749"/>
            <w:tcBorders>
              <w:top w:val="nil"/>
              <w:left w:val="nil"/>
              <w:bottom w:val="nil"/>
              <w:right w:val="nil"/>
            </w:tcBorders>
          </w:tcPr>
          <w:p>
            <w:pPr>
              <w:pStyle w:val="tablecopy"/>
              <w:keepNext/>
              <w:spacing w:before="20" w:after="20"/>
              <w:jc w:val="right"/>
            </w:pPr>
            <w:r>
              <w:rPr/>
              <w:t>438</w:t>
            </w:r>
          </w:p>
        </w:tc>
        <w:tc>
          <w:tcPr>
            <w:tcW w:type="dxa" w:w="885"/>
            <w:tcBorders>
              <w:top w:val="nil"/>
              <w:left w:val="nil"/>
              <w:bottom w:val="nil"/>
              <w:right w:val="nil"/>
            </w:tcBorders>
          </w:tcPr>
          <w:p>
            <w:pPr>
              <w:pStyle w:val="tablecopy"/>
              <w:keepNext/>
              <w:spacing w:before="20" w:after="20"/>
              <w:jc w:val="right"/>
            </w:pPr>
            <w:r>
              <w:rPr/>
              <w:t>3.2 / 10.7</w:t>
            </w:r>
          </w:p>
        </w:tc>
        <w:tc>
          <w:tcPr>
            <w:tcW w:type="dxa" w:w="953"/>
            <w:tcBorders>
              <w:top w:val="nil"/>
              <w:left w:val="nil"/>
              <w:bottom w:val="nil"/>
              <w:right w:val="nil"/>
            </w:tcBorders>
          </w:tcPr>
          <w:p>
            <w:pPr>
              <w:pStyle w:val="tablecopy"/>
              <w:keepNext/>
              <w:spacing w:before="20" w:after="20"/>
              <w:jc w:val="right"/>
            </w:pPr>
            <w:r>
              <w:rPr/>
              <w:t>33.3 / 62.5</w:t>
            </w:r>
          </w:p>
        </w:tc>
        <w:tc>
          <w:tcPr>
            <w:tcW w:type="dxa" w:w="885"/>
            <w:tcBorders>
              <w:top w:val="nil"/>
              <w:left w:val="nil"/>
              <w:bottom w:val="nil"/>
              <w:right w:val="nil"/>
            </w:tcBorders>
          </w:tcPr>
          <w:p>
            <w:pPr>
              <w:pStyle w:val="tablecopy"/>
              <w:keepNext/>
              <w:spacing w:before="20" w:after="20"/>
              <w:jc w:val="right"/>
            </w:pPr>
            <w:r>
              <w:rPr/>
              <w:t>5.8 / 18.3</w:t>
            </w:r>
          </w:p>
        </w:tc>
      </w:tr>
      <w:tr>
        <w:tc>
          <w:tcPr>
            <w:tcW w:type="dxa" w:w="1497"/>
            <w:tcBorders>
              <w:top w:val="nil"/>
              <w:left w:val="nil"/>
              <w:bottom w:val="nil"/>
              <w:right w:val="nil"/>
            </w:tcBorders>
          </w:tcPr>
          <w:p>
            <w:pPr>
              <w:pStyle w:val="tablecopy"/>
              <w:keepNext/>
              <w:spacing w:before="20" w:after="20"/>
              <w:jc w:val="left"/>
            </w:pPr>
            <w:r>
              <w:rPr/>
              <w:t>GraphRAG</w:t>
            </w:r>
            <w:r>
              <w:rPr>
                <w:vertAlign w:val="superscript"/>
              </w:rPr>
              <w:t>†</w:t>
            </w:r>
          </w:p>
        </w:tc>
        <w:tc>
          <w:tcPr>
            <w:tcW w:type="dxa" w:w="749"/>
            <w:tcBorders>
              <w:top w:val="nil"/>
              <w:left w:val="nil"/>
              <w:bottom w:val="nil"/>
              <w:right w:val="nil"/>
            </w:tcBorders>
          </w:tcPr>
          <w:p>
            <w:pPr>
              <w:pStyle w:val="tablecopy"/>
              <w:keepNext/>
              <w:spacing w:before="20" w:after="20"/>
              <w:jc w:val="right"/>
            </w:pPr>
            <w:r>
              <w:rPr/>
              <w:t>52</w:t>
            </w:r>
          </w:p>
        </w:tc>
        <w:tc>
          <w:tcPr>
            <w:tcW w:type="dxa" w:w="885"/>
            <w:tcBorders>
              <w:top w:val="nil"/>
              <w:left w:val="nil"/>
              <w:bottom w:val="nil"/>
              <w:right w:val="nil"/>
            </w:tcBorders>
          </w:tcPr>
          <w:p>
            <w:pPr>
              <w:pStyle w:val="tablecopy"/>
              <w:keepNext/>
              <w:spacing w:before="20" w:after="20"/>
              <w:jc w:val="right"/>
            </w:pPr>
            <w:r>
              <w:rPr/>
              <w:t>3.8 / 13.5</w:t>
            </w:r>
          </w:p>
        </w:tc>
        <w:tc>
          <w:tcPr>
            <w:tcW w:type="dxa" w:w="953"/>
            <w:tcBorders>
              <w:top w:val="nil"/>
              <w:left w:val="nil"/>
              <w:bottom w:val="nil"/>
              <w:right w:val="nil"/>
            </w:tcBorders>
          </w:tcPr>
          <w:p>
            <w:pPr>
              <w:pStyle w:val="tablecopy"/>
              <w:keepNext/>
              <w:spacing w:before="20" w:after="20"/>
              <w:jc w:val="right"/>
            </w:pPr>
            <w:r>
              <w:rPr/>
              <w:t>4.2 / 14.6</w:t>
            </w:r>
          </w:p>
        </w:tc>
        <w:tc>
          <w:tcPr>
            <w:tcW w:type="dxa" w:w="885"/>
            <w:tcBorders>
              <w:top w:val="nil"/>
              <w:left w:val="nil"/>
              <w:bottom w:val="nil"/>
              <w:right w:val="nil"/>
            </w:tcBorders>
          </w:tcPr>
          <w:p>
            <w:pPr>
              <w:pStyle w:val="tablecopy"/>
              <w:keepNext/>
              <w:spacing w:before="20" w:after="20"/>
              <w:jc w:val="right"/>
            </w:pPr>
            <w:r>
              <w:rPr/>
              <w:t>4.0 / 14.0</w:t>
            </w:r>
          </w:p>
        </w:tc>
      </w:tr>
      <w:tr>
        <w:tc>
          <w:tcPr>
            <w:tcW w:type="dxa" w:w="1497"/>
            <w:tcBorders>
              <w:top w:val="nil"/>
              <w:left w:val="nil"/>
              <w:bottom w:val="single" w:sz="8" w:color="000000"/>
              <w:right w:val="nil"/>
            </w:tcBorders>
          </w:tcPr>
          <w:p>
            <w:pPr>
              <w:pStyle w:val="tablecopy"/>
              <w:spacing w:before="20" w:after="20"/>
              <w:jc w:val="left"/>
            </w:pPr>
            <w:r>
              <w:rPr/>
              <w:t>Multi-hop retrieval</w:t>
            </w:r>
          </w:p>
        </w:tc>
        <w:tc>
          <w:tcPr>
            <w:tcW w:type="dxa" w:w="749"/>
            <w:tcBorders>
              <w:top w:val="nil"/>
              <w:left w:val="nil"/>
              <w:bottom w:val="single" w:sz="8" w:color="000000"/>
              <w:right w:val="nil"/>
            </w:tcBorders>
          </w:tcPr>
          <w:p>
            <w:pPr>
              <w:pStyle w:val="tablecopy"/>
              <w:spacing w:before="20" w:after="20"/>
              <w:jc w:val="right"/>
            </w:pPr>
            <w:r>
              <w:rPr/>
              <w:t>27</w:t>
            </w:r>
          </w:p>
        </w:tc>
        <w:tc>
          <w:tcPr>
            <w:tcW w:type="dxa" w:w="885"/>
            <w:tcBorders>
              <w:top w:val="nil"/>
              <w:left w:val="nil"/>
              <w:bottom w:val="single" w:sz="8" w:color="000000"/>
              <w:right w:val="nil"/>
            </w:tcBorders>
          </w:tcPr>
          <w:p>
            <w:pPr>
              <w:pStyle w:val="tablecopy"/>
              <w:spacing w:before="20" w:after="20"/>
              <w:jc w:val="right"/>
            </w:pPr>
            <w:r>
              <w:rPr/>
              <w:t>0.0 / 40.7</w:t>
            </w:r>
          </w:p>
        </w:tc>
        <w:tc>
          <w:tcPr>
            <w:tcW w:type="dxa" w:w="953"/>
            <w:tcBorders>
              <w:top w:val="nil"/>
              <w:left w:val="nil"/>
              <w:bottom w:val="single" w:sz="8" w:color="000000"/>
              <w:right w:val="nil"/>
            </w:tcBorders>
          </w:tcPr>
          <w:p>
            <w:pPr>
              <w:pStyle w:val="tablecopy"/>
              <w:spacing w:before="20" w:after="20"/>
              <w:jc w:val="right"/>
            </w:pPr>
            <w:r>
              <w:rPr/>
              <w:t>0.0 / 12.8</w:t>
            </w:r>
          </w:p>
        </w:tc>
        <w:tc>
          <w:tcPr>
            <w:tcW w:type="dxa" w:w="885"/>
            <w:tcBorders>
              <w:top w:val="nil"/>
              <w:left w:val="nil"/>
              <w:bottom w:val="single" w:sz="8" w:color="000000"/>
              <w:right w:val="nil"/>
            </w:tcBorders>
          </w:tcPr>
          <w:p>
            <w:pPr>
              <w:pStyle w:val="tablecopy"/>
              <w:spacing w:before="20" w:after="20"/>
              <w:jc w:val="right"/>
            </w:pPr>
            <w:r>
              <w:rPr/>
              <w:t>0.0 / 19.5</w:t>
            </w:r>
          </w:p>
        </w:tc>
      </w:tr>
    </w:tbl>
    <w:p>
      <w:pPr>
        <w:spacing w:before="0" w:after="0" w:line="120" w:lineRule="exact"/>
      </w:pPr>
    </w:p>
    <w:p>
      <w:pPr>
        <w:pStyle w:val="BodyText"/>
      </w:pPr>
      <w:r>
        <w:rPr>
          <w:b/>
        </w:rPr>
        <w:t>Precision and F1.</w:t>
      </w:r>
      <w:r>
        <w:rPr/>
        <w:t xml:space="preserve"> Completeness alone rewards emitting more, so Table VII adds precision: the share of extracted elements that match some hand-labelled element at the completeness threshold. EDIA has the highest semantic F1 (22.3%). Absolute precision is low for every generative method because the gold standard lists only the 48 key reasoning elements, while EDIA emits 398 elements. Many are the same element found again in another chunk (counting each gold element at most once lowers EDIA’s semantic precision to 7.0%), and many are plausible reasoning the annotators did not record, which this measure scores as wrong. Precision should therefore be compared across methods rather than read as an error rate. Multi-hop retrieval’s high semantic precision reflects its small output (27 elements, copied verbatim from the transcript), not better recovery: its recall is 12.8%.</w:t>
      </w:r>
    </w:p>
    <w:p>
      <w:pPr>
        <w:pStyle w:val="BodyText"/>
      </w:pPr>
      <w:r>
        <w:rPr>
          <w:b/>
        </w:rPr>
        <w:t>Runtime sensitivity.</w:t>
      </w:r>
      <w:r>
        <w:rPr/>
        <w:t xml:space="preserve"> Replaying the plain extractor on a newer inference runtime, with identical weights and deterministic settings, changed lexical completeness by </w:t>
      </w:r>
      <w:r>
        <w:rPr/>
        <w:t>−6.2</w:t>
      </w:r>
      <w:r>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pStyle w:val="Heading1"/>
      </w:pPr>
      <w:r>
        <w:rPr/>
        <w:t xml:space="preserve">VIII. </w:t>
      </w:r>
      <w:r>
        <w:rPr/>
        <w:t>Discussion</w:t>
      </w:r>
    </w:p>
    <w:p>
      <w:pPr>
        <w:pStyle w:val="BodyText"/>
      </w:pPr>
      <w:r>
        <w:rPr>
          <w:b/>
        </w:rPr>
        <w:t>What would break the ceiling.</w:t>
      </w:r>
      <w:r>
        <w:rPr/>
        <w:t xml:space="preserve"> The dominant misses are reasoning that is scattered or implicit. Neither longer context (no chunk-boundary misses) nor better answer-time reasoning (CoT’s small recall gain is offset by lower precision)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pStyle w:val="BodyText"/>
      </w:pPr>
      <w:r>
        <w:rPr>
          <w:b/>
        </w:rPr>
        <w:t>Limitations.</w:t>
      </w:r>
      <w:r>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w:t>
      </w:r>
    </w:p>
    <w:p>
      <w:pPr>
        <w:pStyle w:val="BodyText"/>
      </w:pPr>
      <w:r>
        <w:rPr>
          <w:b/>
        </w:rPr>
        <w:t>Reporting practice.</w:t>
      </w:r>
      <w:r>
        <w:rPr/>
        <w:t xml:space="preserve"> Two practices changed our conclusions and we recommend them generally: reporting balanced accuracy and present-class F1 alongside gap F1 when the gap rate is high, and reporting both lexical and semantic completeness.</w:t>
      </w:r>
    </w:p>
    <w:p>
      <w:pPr>
        <w:pStyle w:val="Heading1"/>
      </w:pPr>
      <w:r>
        <w:rPr/>
        <w:t xml:space="preserve">IX. </w:t>
      </w:r>
      <w:r>
        <w:rPr/>
        <w:t>Conclusion</w:t>
      </w:r>
    </w:p>
    <w:p>
      <w:pPr>
        <w:pStyle w:val="BodyText"/>
      </w:pPr>
      <w:r>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pStyle w:val="Heading1"/>
      </w:pPr>
      <w:r>
        <w:rPr/>
        <w:t>References</w:t>
      </w:r>
    </w:p>
    <w:p>
      <w:pPr>
        <w:pStyle w:val="references"/>
      </w:pPr>
      <w:r>
        <w:rPr/>
        <w:t>[1]</w:t>
        <w:tab/>
      </w:r>
      <w:r>
        <w:rPr/>
        <w:t xml:space="preserve">M. Zhong et al., “QMSum: A New Benchmark for Query-based Multi-domain Meeting Summarization,” </w:t>
      </w:r>
      <w:r>
        <w:rPr/>
        <w:t xml:space="preserve">in </w:t>
      </w:r>
      <w:r>
        <w:rPr>
          <w:i/>
        </w:rPr>
        <w:t>Proc. Conf. North American Chapter of the Association for Computational Linguistics (NAACL-HLT)</w:t>
      </w:r>
      <w:r>
        <w:rPr/>
        <w:t>, 2021, pp. 5905–5921.</w:t>
      </w:r>
    </w:p>
    <w:p>
      <w:pPr>
        <w:pStyle w:val="references"/>
      </w:pPr>
      <w:r>
        <w:rPr/>
        <w:t>[2]</w:t>
        <w:tab/>
      </w:r>
      <w:r>
        <w:rPr/>
        <w:t xml:space="preserve">A. Janin et al., “The ICSI Meeting Corpus,” </w:t>
      </w:r>
      <w:r>
        <w:rPr/>
        <w:t xml:space="preserve">in </w:t>
      </w:r>
      <w:r>
        <w:rPr>
          <w:i/>
        </w:rPr>
        <w:t>Proc. IEEE Int. Conf. Acoustics, Speech, and Signal Processing (ICASSP)</w:t>
      </w:r>
      <w:r>
        <w:rPr/>
        <w:t>, 2003, pp. I-364–I-367.</w:t>
      </w:r>
    </w:p>
    <w:p>
      <w:pPr>
        <w:pStyle w:val="references"/>
      </w:pPr>
      <w:r>
        <w:rPr/>
        <w:t>[3]</w:t>
        <w:tab/>
      </w:r>
      <w:r>
        <w:rPr/>
        <w:t xml:space="preserve">J. Carletta et al., “The AMI Meeting Corpus: A Pre-announcement,” </w:t>
      </w:r>
      <w:r>
        <w:rPr/>
        <w:t xml:space="preserve">in </w:t>
      </w:r>
      <w:r>
        <w:rPr>
          <w:i/>
        </w:rPr>
        <w:t>Machine Learning for Multimodal Interaction (MLMI), LNCS vol. 3869</w:t>
      </w:r>
      <w:r>
        <w:rPr/>
        <w:t>, Springer</w:t>
      </w:r>
      <w:r>
        <w:rPr/>
        <w:t>, 2006, pp. 28–39.</w:t>
      </w:r>
    </w:p>
    <w:p>
      <w:pPr>
        <w:pStyle w:val="references"/>
      </w:pPr>
      <w:r>
        <w:rPr/>
        <w:t>[4]</w:t>
        <w:tab/>
      </w:r>
      <w:r>
        <w:rPr/>
        <w:t xml:space="preserve">A. Williams, N. Nangia, and S. R. Bowman, “A Broad-Coverage Challenge Corpus for Sentence Understanding through Inference,” </w:t>
      </w:r>
      <w:r>
        <w:rPr/>
        <w:t xml:space="preserve">in </w:t>
      </w:r>
      <w:r>
        <w:rPr>
          <w:i/>
        </w:rPr>
        <w:t>Proc. Conf. North American Chapter of the Association for Computational Linguistics (NAACL-HLT)</w:t>
      </w:r>
      <w:r>
        <w:rPr/>
        <w:t>, 2018, pp. 1112–1122.</w:t>
      </w:r>
    </w:p>
    <w:p>
      <w:pPr>
        <w:pStyle w:val="references"/>
      </w:pPr>
      <w:r>
        <w:rPr/>
        <w:t>[5]</w:t>
        <w:tab/>
      </w:r>
      <w:r>
        <w:rPr/>
        <w:t xml:space="preserve">Y. Liu et al., “RoBERTa: A Robustly Optimized BERT Pretraining Approach,” </w:t>
      </w:r>
      <w:r>
        <w:rPr>
          <w:i/>
        </w:rPr>
        <w:t>arXiv preprint arXiv:1907.11692</w:t>
      </w:r>
      <w:r>
        <w:rPr/>
        <w:t>, 2019.</w:t>
      </w:r>
    </w:p>
    <w:p>
      <w:pPr>
        <w:pStyle w:val="references"/>
      </w:pPr>
      <w:r>
        <w:rPr/>
        <w:t>[6]</w:t>
        <w:tab/>
      </w:r>
      <w:r>
        <w:rPr/>
        <w:t xml:space="preserve">P. Laban, T. Schnabel, P. N. Bennett, and M. A. Hearst, “SummaC: Re-Visiting NLI-based Models for Inconsistency Detection in Summarization,” </w:t>
      </w:r>
      <w:r>
        <w:rPr>
          <w:i/>
        </w:rPr>
        <w:t>Transactions of the Association for Computational Linguistics</w:t>
      </w:r>
      <w:r>
        <w:rPr/>
        <w:t>, vol. 10, pp. 163–177, 2022.</w:t>
      </w:r>
    </w:p>
    <w:p>
      <w:pPr>
        <w:pStyle w:val="references"/>
      </w:pPr>
      <w:r>
        <w:rPr/>
        <w:t>[7]</w:t>
        <w:tab/>
      </w:r>
      <w:r>
        <w:rPr/>
        <w:t xml:space="preserve">W. Kryściński, B. McCann, C. Xiong, and R. Socher, “Evaluating the Factual Consistency of Abstractive Text Summarization,” </w:t>
      </w:r>
      <w:r>
        <w:rPr/>
        <w:t xml:space="preserve">in </w:t>
      </w:r>
      <w:r>
        <w:rPr>
          <w:i/>
        </w:rPr>
        <w:t>Proc. Conf. Empirical Methods in Natural Language Processing (EMNLP)</w:t>
      </w:r>
      <w:r>
        <w:rPr/>
        <w:t>, 2020, pp. 9332–9346.</w:t>
      </w:r>
    </w:p>
    <w:p>
      <w:pPr>
        <w:pStyle w:val="references"/>
      </w:pPr>
      <w:r>
        <w:rPr/>
        <w:t>[8]</w:t>
        <w:tab/>
      </w:r>
      <w:r>
        <w:rPr/>
        <w:t xml:space="preserve">L. Zheng et al., “Judging LLM-as-a-Judge with MT-Bench and Chatbot Arena,” </w:t>
      </w:r>
      <w:r>
        <w:rPr/>
        <w:t xml:space="preserve">in </w:t>
      </w:r>
      <w:r>
        <w:rPr>
          <w:i/>
        </w:rPr>
        <w:t>Advances in Neural Information Processing Systems (NeurIPS), Datasets and Benchmarks Track</w:t>
      </w:r>
      <w:r>
        <w:rPr/>
        <w:t>, 2023.</w:t>
      </w:r>
    </w:p>
    <w:p>
      <w:pPr>
        <w:pStyle w:val="references"/>
      </w:pPr>
      <w:r>
        <w:rPr/>
        <w:t>[9]</w:t>
        <w:tab/>
      </w:r>
      <w:r>
        <w:rPr/>
        <w:t xml:space="preserve">P. Lewis et al., “Retrieval-Augmented Generation for Knowledge-Intensive NLP Tasks,” </w:t>
      </w:r>
      <w:r>
        <w:rPr/>
        <w:t xml:space="preserve">in </w:t>
      </w:r>
      <w:r>
        <w:rPr>
          <w:i/>
        </w:rPr>
        <w:t>Advances in Neural Information Processing Systems (NeurIPS)</w:t>
      </w:r>
      <w:r>
        <w:rPr/>
        <w:t>, 2020, pp. 9459–9474.</w:t>
      </w:r>
    </w:p>
    <w:p>
      <w:pPr>
        <w:pStyle w:val="references"/>
      </w:pPr>
      <w:r>
        <w:rPr/>
        <w:t>[10]</w:t>
        <w:tab/>
      </w:r>
      <w:r>
        <w:rPr/>
        <w:t xml:space="preserve">Z. Yang et al., “HotpotQA: A Dataset for Diverse, Explainable Multi-hop Question Answering,” </w:t>
      </w:r>
      <w:r>
        <w:rPr/>
        <w:t xml:space="preserve">in </w:t>
      </w:r>
      <w:r>
        <w:rPr>
          <w:i/>
        </w:rPr>
        <w:t>Proc. Conf. Empirical Methods in Natural Language Processing (EMNLP)</w:t>
      </w:r>
      <w:r>
        <w:rPr/>
        <w:t>, 2018, pp. 2369–2380.</w:t>
      </w:r>
    </w:p>
    <w:p>
      <w:pPr>
        <w:pStyle w:val="references"/>
      </w:pPr>
      <w:r>
        <w:rPr/>
        <w:t>[11]</w:t>
        <w:tab/>
      </w:r>
      <w:r>
        <w:rPr/>
        <w:t xml:space="preserve">D. Edge et al., “From Local to Global: A Graph RAG Approach to Query-Focused Summarization,” </w:t>
      </w:r>
      <w:r>
        <w:rPr>
          <w:i/>
        </w:rPr>
        <w:t>arXiv preprint arXiv:2404.16130</w:t>
      </w:r>
      <w:r>
        <w:rPr/>
        <w:t>, 2024.</w:t>
      </w:r>
    </w:p>
    <w:p>
      <w:pPr>
        <w:pStyle w:val="references"/>
      </w:pPr>
      <w:r>
        <w:rPr/>
        <w:t>[12]</w:t>
        <w:tab/>
      </w:r>
      <w:r>
        <w:rPr/>
        <w:t xml:space="preserve">J. Wei et al., “Chain-of-Thought Prompting Elicits Reasoning in Large Language Models,” </w:t>
      </w:r>
      <w:r>
        <w:rPr/>
        <w:t xml:space="preserve">in </w:t>
      </w:r>
      <w:r>
        <w:rPr>
          <w:i/>
        </w:rPr>
        <w:t>Advances in Neural Information Processing Systems (NeurIPS)</w:t>
      </w:r>
      <w:r>
        <w:rPr/>
        <w:t>, 2022, pp. 24824–24837.</w:t>
      </w:r>
    </w:p>
    <w:p>
      <w:pPr>
        <w:pStyle w:val="references"/>
      </w:pPr>
      <w:r>
        <w:rPr/>
        <w:t>[13]</w:t>
        <w:tab/>
      </w:r>
      <w:r>
        <w:rPr/>
        <w:t xml:space="preserve">A. Q. Jiang et al., “Mistral 7B,” </w:t>
      </w:r>
      <w:r>
        <w:rPr>
          <w:i/>
        </w:rPr>
        <w:t>arXiv preprint arXiv:2310.06825</w:t>
      </w:r>
      <w:r>
        <w:rPr/>
        <w:t>, 2023.</w:t>
      </w:r>
    </w:p>
    <w:p>
      <w:pPr>
        <w:pStyle w:val="references"/>
      </w:pPr>
      <w:r>
        <w:rPr/>
        <w:t>[14]</w:t>
        <w:tab/>
      </w:r>
      <w:r>
        <w:rPr/>
        <w:t xml:space="preserve">N. Reimers and I. Gurevych, “Sentence-BERT: Sentence Embeddings using Siamese BERT-Networks,” </w:t>
      </w:r>
      <w:r>
        <w:rPr/>
        <w:t xml:space="preserve">in </w:t>
      </w:r>
      <w:r>
        <w:rPr>
          <w:i/>
        </w:rPr>
        <w:t>Proc. Conf. Empirical Methods in Natural Language Processing (EMNLP-IJCNLP)</w:t>
      </w:r>
      <w:r>
        <w:rPr/>
        <w:t>, 2019, pp. 3982–3992.</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jc w:val="center"/>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Normal"/>
    <w:qFormat/>
    <w:pPr>
      <w:spacing w:after="120"/>
      <w:jc w:val="center"/>
    </w:pPr>
    <w:rPr>
      <w:sz w:val="48"/>
    </w:rPr>
  </w:style>
  <w:style w:type="paragraph" w:customStyle="1" w:styleId="Author">
    <w:name w:val="Author"/>
    <w:basedOn w:val="Normal"/>
    <w:qFormat/>
    <w:pPr>
      <w:spacing w:before="360" w:after="40"/>
      <w:jc w:val="center"/>
    </w:pPr>
    <w:rPr>
      <w:sz w:val="22"/>
    </w:rPr>
  </w:style>
  <w:style w:type="paragraph" w:customStyle="1" w:styleId="Abstract">
    <w:name w:val="Abstract"/>
    <w:basedOn w:val="Normal"/>
    <w:qFormat/>
    <w:pPr>
      <w:spacing w:after="200"/>
      <w:ind w:firstLine="272"/>
      <w:jc w:val="both"/>
    </w:pPr>
    <w:rPr>
      <w:b/>
      <w:sz w:val="18"/>
    </w:rPr>
  </w:style>
  <w:style w:type="paragraph" w:customStyle="1" w:styleId="Keywords">
    <w:name w:val="Keywords"/>
    <w:basedOn w:val="Abstract"/>
    <w:qFormat/>
    <w:pPr>
      <w:spacing w:after="120"/>
      <w:ind w:firstLine="274"/>
    </w:pPr>
    <w:rPr>
      <w:i/>
    </w:rPr>
  </w:style>
  <w:style w:type="paragraph" w:customStyle="1" w:styleId="Heading1">
    <w:name w:val="heading 1"/>
    <w:basedOn w:val="Normal"/>
    <w:next w:val="BodyText"/>
    <w:qFormat/>
    <w:pPr>
      <w:keepNext/>
      <w:keepLines/>
      <w:spacing w:before="160" w:after="80"/>
      <w:ind w:firstLine="0"/>
      <w:jc w:val="center"/>
      <w:outlineLvl w:val="0"/>
    </w:pPr>
    <w:rPr>
      <w:smallCaps/>
    </w:rPr>
  </w:style>
  <w:style w:type="paragraph" w:customStyle="1" w:styleId="Heading2">
    <w:name w:val="heading 2"/>
    <w:basedOn w:val="Normal"/>
    <w:next w:val="BodyText"/>
    <w:qFormat/>
    <w:pPr>
      <w:keepNext/>
      <w:keepLines/>
      <w:spacing w:before="120" w:after="60"/>
      <w:jc w:val="left"/>
      <w:outlineLvl w:val="1"/>
    </w:pPr>
    <w:rPr>
      <w:i/>
    </w:rPr>
  </w:style>
  <w:style w:type="paragraph" w:customStyle="1" w:styleId="BodyText">
    <w:name w:val="Body Text"/>
    <w:basedOn w:val="Normal"/>
    <w:qFormat/>
    <w:pPr>
      <w:spacing w:after="120" w:line="228" w:lineRule="auto"/>
      <w:ind w:firstLine="288"/>
      <w:jc w:val="both"/>
    </w:pPr>
    <w:rPr>
      <w:spacing w:val="-1"/>
    </w:rPr>
  </w:style>
  <w:style w:type="paragraph" w:customStyle="1" w:styleId="bulletlist">
    <w:name w:val="bullet list"/>
    <w:basedOn w:val="ListBullet"/>
    <w:qFormat/>
    <w:pPr>
      <w:spacing w:after="120" w:line="228" w:lineRule="auto"/>
      <w:ind w:hanging="288" w:left="576"/>
      <w:jc w:val="both"/>
    </w:pPr>
    <w:rPr>
      <w:spacing w:val="-1"/>
    </w:rPr>
  </w:style>
  <w:style w:type="paragraph" w:customStyle="1" w:styleId="figurecaption">
    <w:name w:val="figure caption"/>
    <w:basedOn w:val="Normal"/>
    <w:qFormat/>
    <w:pPr>
      <w:spacing w:before="80" w:after="200"/>
      <w:ind w:firstLine="0"/>
      <w:jc w:val="both"/>
    </w:pPr>
    <w:rPr>
      <w:sz w:val="16"/>
    </w:rPr>
  </w:style>
  <w:style w:type="paragraph" w:customStyle="1" w:styleId="tablehead">
    <w:name w:val="table head"/>
    <w:basedOn w:val="Normal"/>
    <w:qFormat/>
    <w:pPr>
      <w:spacing w:before="240" w:after="120" w:line="216" w:lineRule="auto"/>
      <w:jc w:val="center"/>
    </w:pPr>
    <w:rPr>
      <w:smallCaps/>
      <w:sz w:val="16"/>
    </w:rPr>
  </w:style>
  <w:style w:type="paragraph" w:customStyle="1" w:styleId="tablecopy">
    <w:name w:val="table copy"/>
    <w:basedOn w:val="Normal"/>
    <w:qFormat/>
    <w:pPr>
      <w:jc w:val="both"/>
    </w:pPr>
    <w:rPr>
      <w:sz w:val="16"/>
    </w:rPr>
  </w:style>
  <w:style w:type="paragraph" w:customStyle="1" w:styleId="references">
    <w:name w:val="references"/>
    <w:basedOn w:val="Normal"/>
    <w:qFormat/>
    <w:pPr>
      <w:tabs>
        <w:tab w:pos="432" w:val="left"/>
      </w:tabs>
      <w:spacing w:after="50" w:line="180" w:lineRule="exact"/>
      <w:ind w:hanging="432" w:left="432"/>
      <w:jc w:val="both"/>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