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eastAsia="Times New Roman"/>
          <w:sz w:val="48"/>
        </w:rPr>
        <w:t>Where Meeting Reasoning Gets Lost: A Feasibility Study of Decision-Context Gap Detection in Enterprise Meetings</w:t>
      </w:r>
    </w:p>
    <w:tbl>
      <w:tblPr>
        <w:tblW w:type="auto" w:w="0"/>
        <w:tblBorders>
          <w:top w:val="nil"/>
          <w:left w:val="nil"/>
          <w:bottom w:val="nil"/>
          <w:right w:val="nil"/>
          <w:insideH w:val="nil"/>
          <w:insideV w:val="nil"/>
        </w:tblBorders>
        <w:tblLook w:firstColumn="1" w:firstRow="1" w:lastColumn="0" w:lastRow="0" w:noHBand="0" w:noVBand="1" w:val="04A0"/>
      </w:tblPr>
      <w:tblGrid>
        <w:gridCol w:w="5220"/>
        <w:gridCol w:w="5220"/>
      </w:tblGrid>
      <w:tr>
        <w:tc>
          <w:tcPr>
            <w:tcW w:type="dxa" w:w="5220"/>
          </w:tcPr>
          <w:p>
            <w:pPr>
              <w:jc w:val="center"/>
            </w:pPr>
            <w:r>
              <w:rPr>
                <w:rFonts w:ascii="Times New Roman" w:hAnsi="Times New Roman" w:eastAsia="Times New Roman"/>
                <w:sz w:val="22"/>
              </w:rPr>
              <w:t>Jaitra Shah</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c>
          <w:tcPr>
            <w:tcW w:type="dxa" w:w="5220"/>
          </w:tcPr>
          <w:p>
            <w:pPr>
              <w:jc w:val="center"/>
            </w:pPr>
            <w:r>
              <w:rPr>
                <w:rFonts w:ascii="Times New Roman" w:hAnsi="Times New Roman" w:eastAsia="Times New Roman"/>
                <w:color w:val="C00000"/>
                <w:sz w:val="22"/>
              </w:rPr>
              <w:t xml:space="preserve">[TODO: </w:t>
            </w:r>
            <w:r>
              <w:rPr>
                <w:rFonts w:ascii="Times New Roman" w:hAnsi="Times New Roman" w:eastAsia="Times New Roman"/>
                <w:color w:val="C00000"/>
                <w:sz w:val="22"/>
              </w:rPr>
              <w:t>Co-author / supervisor</w:t>
            </w:r>
            <w:r>
              <w:rPr>
                <w:rFonts w:ascii="Times New Roman" w:hAnsi="Times New Roman" w:eastAsia="Times New Roman"/>
                <w:color w:val="C00000"/>
                <w:sz w:val="22"/>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r>
    </w:tbl>
    <w:p>
      <w:pPr>
        <w:spacing w:before="0" w:after="120" w:line="240" w:lineRule="auto"/>
        <w:jc w:val="both"/>
      </w:pPr>
    </w:p>
    <w:p>
      <w:pPr>
        <w:sectPr>
          <w:pgSz w:w="12240" w:h="15840"/>
          <w:pgMar w:top="1080" w:right="900" w:bottom="1440" w:left="900" w:header="720" w:footer="720" w:gutter="0"/>
          <w:cols w:space="360" w:num="1"/>
          <w:docGrid w:linePitch="360"/>
        </w:sectPr>
      </w:pPr>
    </w:p>
    <w:p>
      <w:pPr>
        <w:spacing w:before="0" w:after="120" w:line="240" w:lineRule="auto"/>
        <w:ind w:firstLine="200"/>
        <w:jc w:val="both"/>
      </w:pPr>
      <w:r>
        <w:rPr>
          <w:rFonts w:ascii="Times New Roman" w:hAnsi="Times New Roman" w:eastAsia="Times New Roman"/>
          <w:b/>
          <w:i/>
          <w:sz w:val="18"/>
        </w:rPr>
        <w:t>Abstract</w:t>
      </w:r>
      <w:r>
        <w:rPr>
          <w:rFonts w:ascii="Times New Roman" w:hAnsi="Times New Roman" w:eastAsia="Times New Roman"/>
          <w:b/>
          <w:sz w:val="18"/>
        </w:rPr>
        <w:t>—</w:t>
      </w:r>
      <w:r>
        <w:rPr>
          <w:rFonts w:ascii="Times New Roman" w:hAnsi="Times New Roman" w:eastAsia="Times New Roman"/>
          <w:b/>
          <w:sz w:val="18"/>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a pipeline that extracts structured decision reasoning from transcripts with an open 7B language model and flags reasoning elements missing from the accompanying document, and we evaluate it on </w:t>
      </w:r>
      <w:r>
        <w:rPr>
          <w:rFonts w:ascii="Times New Roman" w:hAnsi="Times New Roman" w:eastAsia="Times New Roman"/>
          <w:b/>
          <w:i/>
          <w:sz w:val="18"/>
        </w:rPr>
        <w:t>adhd_v1</w:t>
      </w:r>
      <w:r>
        <w:rPr>
          <w:rFonts w:ascii="Times New Roman" w:hAnsi="Times New Roman" w:eastAsia="Times New Roman"/>
          <w:b/>
          <w:sz w:val="18"/>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rFonts w:ascii="Times New Roman" w:hAnsi="Times New Roman" w:eastAsia="Times New Roman"/>
          <w:b/>
          <w:i/>
          <w:sz w:val="18"/>
        </w:rPr>
        <w:t>did</w:t>
      </w:r>
      <w:r>
        <w:rPr>
          <w:rFonts w:ascii="Times New Roman" w:hAnsi="Times New Roman" w:eastAsia="Times New Roman"/>
          <w:b/>
          <w:sz w:val="18"/>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spacing w:before="0" w:after="160" w:line="240" w:lineRule="auto"/>
        <w:ind w:firstLine="200"/>
        <w:jc w:val="both"/>
      </w:pPr>
      <w:r>
        <w:rPr>
          <w:rFonts w:ascii="Times New Roman" w:hAnsi="Times New Roman" w:eastAsia="Times New Roman"/>
          <w:b/>
          <w:i/>
          <w:sz w:val="18"/>
        </w:rPr>
        <w:t>Index Terms</w:t>
      </w:r>
      <w:r>
        <w:rPr>
          <w:rFonts w:ascii="Times New Roman" w:hAnsi="Times New Roman" w:eastAsia="Times New Roman"/>
          <w:b/>
          <w:sz w:val="18"/>
        </w:rPr>
        <w:t>—</w:t>
      </w:r>
      <w:r>
        <w:rPr>
          <w:rFonts w:ascii="Times New Roman" w:hAnsi="Times New Roman" w:eastAsia="Times New Roman"/>
          <w:b/>
          <w:sz w:val="18"/>
        </w:rPr>
        <w:t>meeting summarization, decision extraction, natural language inference, information extraction, multi-hop reasoning, evaluation</w:t>
      </w:r>
    </w:p>
    <w:p>
      <w:pPr>
        <w:keepNext/>
        <w:spacing w:before="200" w:after="80" w:line="240" w:lineRule="auto"/>
        <w:jc w:val="center"/>
      </w:pPr>
      <w:r>
        <w:rPr>
          <w:rFonts w:ascii="Times New Roman" w:hAnsi="Times New Roman" w:eastAsia="Times New Roman"/>
          <w:smallCaps/>
          <w:sz w:val="20"/>
        </w:rPr>
        <w:t xml:space="preserve">I. </w:t>
      </w:r>
      <w:r>
        <w:rPr>
          <w:rFonts w:ascii="Times New Roman" w:hAnsi="Times New Roman" w:eastAsia="Times New Roman"/>
          <w:smallCaps/>
          <w:sz w:val="20"/>
        </w:rPr>
        <w:t>Introduction</w:t>
      </w:r>
    </w:p>
    <w:p>
      <w:pPr>
        <w:spacing w:before="0" w:after="0" w:line="240" w:lineRule="auto"/>
        <w:ind w:firstLine="200"/>
        <w:jc w:val="both"/>
      </w:pPr>
      <w:r>
        <w:rPr>
          <w:rFonts w:ascii="Times New Roman" w:hAnsi="Times New Roman" w:eastAsia="Times New Roman"/>
          <w:sz w:val="20"/>
        </w:rPr>
        <w:t xml:space="preserve">Organisations record </w:t>
      </w:r>
      <w:r>
        <w:rPr>
          <w:rFonts w:ascii="Times New Roman" w:hAnsi="Times New Roman" w:eastAsia="Times New Roman"/>
          <w:i/>
          <w:sz w:val="20"/>
        </w:rPr>
        <w:t>what</w:t>
      </w:r>
      <w:r>
        <w:rPr>
          <w:rFonts w:ascii="Times New Roman" w:hAnsi="Times New Roman" w:eastAsia="Times New Roman"/>
          <w:sz w:val="20"/>
        </w:rPr>
        <w:t xml:space="preserve"> was decided far more reliably than </w:t>
      </w:r>
      <w:r>
        <w:rPr>
          <w:rFonts w:ascii="Times New Roman" w:hAnsi="Times New Roman" w:eastAsia="Times New Roman"/>
          <w:i/>
          <w:sz w:val="20"/>
        </w:rPr>
        <w:t>why</w:t>
      </w:r>
      <w:r>
        <w:rPr>
          <w:rFonts w:ascii="Times New Roman" w:hAnsi="Times New Roman" w:eastAsia="Times New Roman"/>
          <w:sz w:val="20"/>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rFonts w:ascii="Times New Roman" w:hAnsi="Times New Roman" w:eastAsia="Times New Roman"/>
          <w:i/>
          <w:sz w:val="20"/>
        </w:rPr>
        <w:t>decision-context gap</w:t>
      </w:r>
      <w:r>
        <w:rPr>
          <w:rFonts w:ascii="Times New Roman" w:hAnsi="Times New Roman" w:eastAsia="Times New Roman"/>
          <w:sz w:val="20"/>
        </w:rPr>
        <w:t>.</w:t>
      </w:r>
    </w:p>
    <w:p>
      <w:pPr>
        <w:spacing w:before="0" w:after="0" w:line="240" w:lineRule="auto"/>
        <w:ind w:firstLine="200"/>
        <w:jc w:val="both"/>
      </w:pPr>
      <w:r>
        <w:rPr>
          <w:rFonts w:ascii="Times New Roman" w:hAnsi="Times New Roman" w:eastAsia="Times New Roman"/>
          <w:sz w:val="20"/>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spacing w:before="0" w:after="0" w:line="240" w:lineRule="auto"/>
        <w:ind w:firstLine="200"/>
        <w:jc w:val="both"/>
      </w:pPr>
      <w:r>
        <w:rPr>
          <w:rFonts w:ascii="Times New Roman" w:hAnsi="Times New Roman" w:eastAsia="Times New Roman"/>
          <w:sz w:val="20"/>
        </w:rPr>
        <w:t>We make four contributions:</w:t>
      </w:r>
    </w:p>
    <w:p>
      <w:pPr>
        <w:pStyle w:val="ListBullet"/>
        <w:jc w:val="both"/>
      </w:pPr>
      <w:r>
        <w:rPr>
          <w:rFonts w:ascii="Times New Roman" w:hAnsi="Times New Roman" w:eastAsia="Times New Roman"/>
          <w:b/>
          <w:sz w:val="20"/>
        </w:rPr>
        <w:t>EDIA</w:t>
      </w:r>
      <w:r>
        <w:rPr>
          <w:rFonts w:ascii="Times New Roman" w:hAnsi="Times New Roman" w:eastAsia="Times New Roman"/>
          <w:sz w:val="20"/>
        </w:rPr>
        <w:t>, an end-to-end pipeline for structured decision-reasoning extraction and gap detection, run entirely on open models.</w:t>
      </w:r>
    </w:p>
    <w:p>
      <w:pPr>
        <w:pStyle w:val="ListBullet"/>
        <w:jc w:val="both"/>
      </w:pPr>
      <w:r>
        <w:rPr>
          <w:rFonts w:ascii="Times New Roman" w:hAnsi="Times New Roman" w:eastAsia="Times New Roman"/>
          <w:b/>
          <w:sz w:val="20"/>
        </w:rPr>
        <w:t>adhd_v1</w:t>
      </w:r>
      <w:r>
        <w:rPr>
          <w:rFonts w:ascii="Times New Roman" w:hAnsi="Times New Roman" w:eastAsia="Times New Roman"/>
          <w:sz w:val="20"/>
        </w:rPr>
        <w:t>, a three-tier benchmark (hand-labelled, NLI-labelled and constructed pairs) with explicit label provenance, designed so that detector comparisons are made where the class balance allows them to be meaningful.</w:t>
      </w:r>
    </w:p>
    <w:p>
      <w:pPr>
        <w:pStyle w:val="ListBullet"/>
        <w:jc w:val="both"/>
      </w:pPr>
      <w:r>
        <w:rPr>
          <w:rFonts w:ascii="Times New Roman" w:hAnsi="Times New Roman" w:eastAsia="Times New Roman"/>
          <w:b/>
          <w:sz w:val="20"/>
        </w:rPr>
        <w:t>A diagnosis</w:t>
      </w:r>
      <w:r>
        <w:rPr>
          <w:rFonts w:ascii="Times New Roman" w:hAnsi="Times New Roman" w:eastAsia="Times New Roman"/>
          <w:sz w:val="20"/>
        </w:rPr>
        <w:t xml:space="preserve"> of the extraction ceiling through a manually annotated failure taxonomy, showing that multi-hop reasoning—not chunking, paraphrase or hallucination—dominates the residual misses.</w:t>
      </w:r>
    </w:p>
    <w:p>
      <w:pPr>
        <w:pStyle w:val="ListBullet"/>
        <w:jc w:val="both"/>
      </w:pPr>
      <w:r>
        <w:rPr>
          <w:rFonts w:ascii="Times New Roman" w:hAnsi="Times New Roman" w:eastAsia="Times New Roman"/>
          <w:b/>
          <w:sz w:val="20"/>
        </w:rPr>
        <w:t>A comparative analysis</w:t>
      </w:r>
      <w:r>
        <w:rPr>
          <w:rFonts w:ascii="Times New Roman" w:hAnsi="Times New Roman" w:eastAsia="Times New Roman"/>
          <w:sz w:val="20"/>
        </w:rPr>
        <w:t xml:space="preserve"> showing that chain-of-thought prompting, GraphRAG and multi-hop retrieval each fail to break the ceiling for an identifiable reason.</w:t>
      </w:r>
    </w:p>
    <w:p>
      <w:pPr>
        <w:spacing w:before="0" w:after="0" w:line="240" w:lineRule="auto"/>
        <w:ind w:firstLine="200"/>
        <w:jc w:val="both"/>
      </w:pPr>
      <w:r>
        <w:rPr>
          <w:rFonts w:ascii="Times New Roman" w:hAnsi="Times New Roman" w:eastAsia="Times New Roman"/>
          <w:sz w:val="20"/>
        </w:rPr>
        <w:t xml:space="preserve">Our answer to the feasibility question is </w:t>
      </w:r>
      <w:r>
        <w:rPr>
          <w:rFonts w:ascii="Times New Roman" w:hAnsi="Times New Roman" w:eastAsia="Times New Roman"/>
          <w:i/>
          <w:sz w:val="20"/>
        </w:rPr>
        <w:t>partially</w:t>
      </w:r>
      <w:r>
        <w:rPr>
          <w:rFonts w:ascii="Times New Roman" w:hAnsi="Times New Roman" w:eastAsia="Times New Roman"/>
          <w:sz w:val="20"/>
        </w:rPr>
        <w:t>: the pipeline recovers roughly a third to a half of the reasoning a human finds, and the remainder is precisely the reasoning that is hardest to locate.</w:t>
      </w:r>
    </w:p>
    <w:p>
      <w:pPr>
        <w:keepNext/>
        <w:spacing w:before="200" w:after="80" w:line="240" w:lineRule="auto"/>
        <w:jc w:val="center"/>
      </w:pPr>
      <w:r>
        <w:rPr>
          <w:rFonts w:ascii="Times New Roman" w:hAnsi="Times New Roman" w:eastAsia="Times New Roman"/>
          <w:smallCaps/>
          <w:sz w:val="20"/>
        </w:rPr>
        <w:t xml:space="preserve">II. </w:t>
      </w:r>
      <w:r>
        <w:rPr>
          <w:rFonts w:ascii="Times New Roman" w:hAnsi="Times New Roman" w:eastAsia="Times New Roman"/>
          <w:smallCaps/>
          <w:sz w:val="20"/>
        </w:rPr>
        <w:t>Background and Related Work</w:t>
      </w:r>
    </w:p>
    <w:p>
      <w:pPr>
        <w:spacing w:before="0" w:after="0" w:line="240" w:lineRule="auto"/>
        <w:ind w:firstLine="200"/>
        <w:jc w:val="both"/>
      </w:pPr>
      <w:r>
        <w:rPr>
          <w:rFonts w:ascii="Times New Roman" w:hAnsi="Times New Roman" w:eastAsia="Times New Roman"/>
          <w:b/>
          <w:sz w:val="20"/>
        </w:rPr>
        <w:t>Meeting corpora and summarization.</w:t>
      </w:r>
      <w:r>
        <w:rPr>
          <w:rFonts w:ascii="Times New Roman" w:hAnsi="Times New Roman" w:eastAsia="Times New Roman"/>
          <w:sz w:val="20"/>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spacing w:before="0" w:after="0" w:line="240" w:lineRule="auto"/>
        <w:ind w:firstLine="200"/>
        <w:jc w:val="both"/>
      </w:pPr>
      <w:r>
        <w:rPr>
          <w:rFonts w:ascii="Times New Roman" w:hAnsi="Times New Roman" w:eastAsia="Times New Roman"/>
          <w:b/>
          <w:sz w:val="20"/>
        </w:rPr>
        <w:t>Entailment for faithfulness.</w:t>
      </w:r>
      <w:r>
        <w:rPr>
          <w:rFonts w:ascii="Times New Roman" w:hAnsi="Times New Roman" w:eastAsia="Times New Roman"/>
          <w:sz w:val="20"/>
        </w:rPr>
        <w:t xml:space="preserve"> Natural language inference (NLI) models trained on MNLI [4], such as RoBERTa-large [5], are widely used to test whether a summary is supported by its source, e.g. SummaC [6] and FactCC [7]. Gap detection inverts that direction: the question is whether a </w:t>
      </w:r>
      <w:r>
        <w:rPr>
          <w:rFonts w:ascii="Times New Roman" w:hAnsi="Times New Roman" w:eastAsia="Times New Roman"/>
          <w:i/>
          <w:sz w:val="20"/>
        </w:rPr>
        <w:t>source</w:t>
      </w:r>
      <w:r>
        <w:rPr>
          <w:rFonts w:ascii="Times New Roman" w:hAnsi="Times New Roman" w:eastAsia="Times New Roman"/>
          <w:sz w:val="20"/>
        </w:rPr>
        <w:t xml:space="preserve"> element is carried by a much shorter summary, which we find to be a poor fit for sentence-level NLI.</w:t>
      </w:r>
    </w:p>
    <w:p>
      <w:pPr>
        <w:spacing w:before="0" w:after="0" w:line="240" w:lineRule="auto"/>
        <w:ind w:firstLine="200"/>
        <w:jc w:val="both"/>
      </w:pPr>
      <w:r>
        <w:rPr>
          <w:rFonts w:ascii="Times New Roman" w:hAnsi="Times New Roman" w:eastAsia="Times New Roman"/>
          <w:b/>
          <w:sz w:val="20"/>
        </w:rPr>
        <w:t>LLMs as judges.</w:t>
      </w:r>
      <w:r>
        <w:rPr>
          <w:rFonts w:ascii="Times New Roman" w:hAnsi="Times New Roman" w:eastAsia="Times New Roman"/>
          <w:sz w:val="20"/>
        </w:rPr>
        <w:t xml:space="preserve"> Using a language model to grade content is attractive but known to suffer from systematic biases [8]; we observe a severe instance.</w:t>
      </w:r>
    </w:p>
    <w:p>
      <w:pPr>
        <w:spacing w:before="0" w:after="0" w:line="240" w:lineRule="auto"/>
        <w:ind w:firstLine="200"/>
        <w:jc w:val="both"/>
      </w:pPr>
      <w:r>
        <w:rPr>
          <w:rFonts w:ascii="Times New Roman" w:hAnsi="Times New Roman" w:eastAsia="Times New Roman"/>
          <w:b/>
          <w:sz w:val="20"/>
        </w:rPr>
        <w:t>Retrieval and multi-hop reasoning.</w:t>
      </w:r>
      <w:r>
        <w:rPr>
          <w:rFonts w:ascii="Times New Roman" w:hAnsi="Times New Roman" w:eastAsia="Times New Roman"/>
          <w:sz w:val="20"/>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keepNext/>
        <w:spacing w:before="200" w:after="80" w:line="240" w:lineRule="auto"/>
        <w:jc w:val="center"/>
      </w:pPr>
      <w:r>
        <w:rPr>
          <w:rFonts w:ascii="Times New Roman" w:hAnsi="Times New Roman" w:eastAsia="Times New Roman"/>
          <w:smallCaps/>
          <w:sz w:val="20"/>
        </w:rPr>
        <w:t xml:space="preserve">III. </w:t>
      </w:r>
      <w:r>
        <w:rPr>
          <w:rFonts w:ascii="Times New Roman" w:hAnsi="Times New Roman" w:eastAsia="Times New Roman"/>
          <w:smallCaps/>
          <w:sz w:val="20"/>
        </w:rPr>
        <w:t>The EDIA Pipeline</w:t>
      </w:r>
    </w:p>
    <w:p>
      <w:pPr>
        <w:spacing w:before="0" w:after="0" w:line="240" w:lineRule="auto"/>
        <w:ind w:firstLine="200"/>
        <w:jc w:val="both"/>
      </w:pPr>
      <w:r>
        <w:rPr>
          <w:rFonts w:ascii="Times New Roman" w:hAnsi="Times New Roman" w:eastAsia="Times New Roman"/>
          <w:sz w:val="20"/>
        </w:rPr>
        <w:t>Fig. 1 summarises the pipeline: transcripts are chunked and passed to an extractor that emits structured decision records, whose reasoning elements are then checked against the filed document by a gap detector.</w:t>
      </w:r>
    </w:p>
    <w:p>
      <w:pPr>
        <w:keepNext/>
        <w:spacing w:before="120" w:after="0" w:line="240" w:lineRule="auto"/>
        <w:jc w:val="center"/>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spacing w:before="0" w:after="160" w:line="240" w:lineRule="auto"/>
        <w:jc w:val="both"/>
      </w:pPr>
      <w:r>
        <w:rPr>
          <w:rFonts w:ascii="Times New Roman" w:hAnsi="Times New Roman" w:eastAsia="Times New Roman"/>
          <w:sz w:val="16"/>
        </w:rPr>
        <w:t xml:space="preserve">Fig. 1. </w:t>
      </w:r>
      <w:r>
        <w:rPr>
          <w:rFonts w:ascii="Times New Roman" w:hAnsi="Times New Roman" w:eastAsia="Times New Roman"/>
          <w:sz w:val="16"/>
        </w:rPr>
        <w:t>The EDIA pipeline. Grey: extraction stage; dashed: evaluation. In the benchmark, gap detectors are scored directly on labelled reasoning elements, and extraction is scored separately against hand-labelled ground truth.</w:t>
      </w:r>
    </w:p>
    <w:p>
      <w:pPr>
        <w:keepNext/>
        <w:spacing w:before="120" w:after="60" w:line="240" w:lineRule="auto"/>
        <w:jc w:val="left"/>
      </w:pPr>
      <w:r>
        <w:rPr>
          <w:rFonts w:ascii="Times New Roman" w:hAnsi="Times New Roman" w:eastAsia="Times New Roman"/>
          <w:i/>
          <w:sz w:val="20"/>
        </w:rPr>
        <w:t xml:space="preserve">A. </w:t>
      </w:r>
      <w:r>
        <w:rPr>
          <w:rFonts w:ascii="Times New Roman" w:hAnsi="Times New Roman" w:eastAsia="Times New Roman"/>
          <w:i/>
          <w:sz w:val="20"/>
        </w:rPr>
        <w:t>Schema and extraction</w:t>
      </w:r>
    </w:p>
    <w:p>
      <w:pPr>
        <w:spacing w:before="0" w:after="0" w:line="240" w:lineRule="auto"/>
        <w:ind w:firstLine="200"/>
        <w:jc w:val="both"/>
      </w:pPr>
      <w:r>
        <w:rPr>
          <w:rFonts w:ascii="Times New Roman" w:hAnsi="Times New Roman" w:eastAsia="Times New Roman"/>
          <w:sz w:val="20"/>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rFonts w:ascii="Times New Roman" w:hAnsi="Times New Roman" w:eastAsia="Times New Roman"/>
          <w:sz w:val="20"/>
        </w:rPr>
        <w:t xml:space="preserve">, </w:t>
      </w:r>
      <w:r>
        <w:rPr>
          <w:rFonts w:ascii="Times New Roman" w:hAnsi="Times New Roman" w:eastAsia="Times New Roman"/>
          <w:sz w:val="20"/>
        </w:rPr>
        <w:t>https://ollama.com</w:t>
      </w:r>
      <w:r>
        <w:rPr>
          <w:rFonts w:ascii="Times New Roman" w:hAnsi="Times New Roman" w:eastAsia="Times New Roman"/>
          <w:sz w:val="20"/>
        </w:rPr>
        <w:t>) with a prompt that forbids inference beyond the excerpt and requires quotes to be copied character-for-character. Decoding settings are deterministic (temperature 0, top-</w:t>
      </w:r>
      <w:r>
        <w:rPr>
          <w:rFonts w:ascii="Times New Roman" w:hAnsi="Times New Roman" w:eastAsia="Times New Roman"/>
          <w:i/>
          <w:sz w:val="20"/>
        </w:rPr>
        <w:t>k</w:t>
      </w:r>
      <w:r>
        <w:rPr>
          <w:rFonts w:ascii="Times New Roman" w:hAnsi="Times New Roman" w:eastAsia="Times New Roman"/>
          <w:sz w:val="20"/>
        </w:rPr>
        <w:t xml:space="preserve"> 1, fixed seed, 8,192-token context, 2,048-token output cap) under JSON-constrained output; unparseable output triggers one repair call.</w:t>
      </w:r>
    </w:p>
    <w:p>
      <w:pPr>
        <w:keepNext/>
        <w:spacing w:before="120" w:after="60" w:line="240" w:lineRule="auto"/>
        <w:jc w:val="left"/>
      </w:pPr>
      <w:r>
        <w:rPr>
          <w:rFonts w:ascii="Times New Roman" w:hAnsi="Times New Roman" w:eastAsia="Times New Roman"/>
          <w:i/>
          <w:sz w:val="20"/>
        </w:rPr>
        <w:t xml:space="preserve">B. </w:t>
      </w:r>
      <w:r>
        <w:rPr>
          <w:rFonts w:ascii="Times New Roman" w:hAnsi="Times New Roman" w:eastAsia="Times New Roman"/>
          <w:i/>
          <w:sz w:val="20"/>
        </w:rPr>
        <w:t>Gap detection</w:t>
      </w:r>
    </w:p>
    <w:p>
      <w:pPr>
        <w:spacing w:before="0" w:after="0" w:line="240" w:lineRule="auto"/>
        <w:ind w:firstLine="200"/>
        <w:jc w:val="both"/>
      </w:pPr>
      <w:r>
        <w:rPr>
          <w:rFonts w:ascii="Times New Roman" w:hAnsi="Times New Roman" w:eastAsia="Times New Roman"/>
          <w:sz w:val="20"/>
        </w:rPr>
        <w:t xml:space="preserve">Given a document and a reasoning element, a detector returns a present-score in </w:t>
      </w:r>
      <w:r>
        <w:rPr>
          <w:rFonts w:ascii="Times New Roman" w:hAnsi="Times New Roman" w:eastAsia="Times New Roman"/>
          <w:sz w:val="20"/>
        </w:rPr>
        <w:t>[0,1]</w:t>
      </w:r>
      <w:r>
        <w:rPr>
          <w:rFonts w:ascii="Times New Roman" w:hAnsi="Times New Roman" w:eastAsia="Times New Roman"/>
          <w:sz w:val="20"/>
        </w:rPr>
        <w:t xml:space="preserve">; the element is predicted to be a gap if the score is below a threshold (0.55). We compare four detectors: (i) </w:t>
      </w:r>
      <w:r>
        <w:rPr>
          <w:rFonts w:ascii="Times New Roman" w:hAnsi="Times New Roman" w:eastAsia="Times New Roman"/>
          <w:i/>
          <w:sz w:val="20"/>
        </w:rPr>
        <w:t>lexical</w:t>
      </w:r>
      <w:r>
        <w:rPr>
          <w:rFonts w:ascii="Times New Roman" w:hAnsi="Times New Roman" w:eastAsia="Times New Roman"/>
          <w:sz w:val="20"/>
        </w:rPr>
        <w:t xml:space="preserve">, token-level F1 overlap with the document; (ii) </w:t>
      </w:r>
      <w:r>
        <w:rPr>
          <w:rFonts w:ascii="Times New Roman" w:hAnsi="Times New Roman" w:eastAsia="Times New Roman"/>
          <w:i/>
          <w:sz w:val="20"/>
        </w:rPr>
        <w:t>NLI</w:t>
      </w:r>
      <w:r>
        <w:rPr>
          <w:rFonts w:ascii="Times New Roman" w:hAnsi="Times New Roman" w:eastAsia="Times New Roman"/>
          <w:sz w:val="20"/>
        </w:rPr>
        <w:t xml:space="preserve">, the entailment probability of the element given the document under </w:t>
      </w:r>
      <w:r>
        <w:rPr>
          <w:rFonts w:ascii="Courier New" w:hAnsi="Courier New" w:eastAsia="Courier New"/>
          <w:sz w:val="20"/>
        </w:rPr>
        <w:t>roberta-large-mnli</w:t>
      </w:r>
      <w:r>
        <w:rPr>
          <w:rFonts w:ascii="Times New Roman" w:hAnsi="Times New Roman" w:eastAsia="Times New Roman"/>
          <w:sz w:val="20"/>
        </w:rPr>
        <w:t xml:space="preserve">; (iii) an </w:t>
      </w:r>
      <w:r>
        <w:rPr>
          <w:rFonts w:ascii="Times New Roman" w:hAnsi="Times New Roman" w:eastAsia="Times New Roman"/>
          <w:i/>
          <w:sz w:val="20"/>
        </w:rPr>
        <w:t>LLM judge</w:t>
      </w:r>
      <w:r>
        <w:rPr>
          <w:rFonts w:ascii="Times New Roman" w:hAnsi="Times New Roman" w:eastAsia="Times New Roman"/>
          <w:sz w:val="20"/>
        </w:rPr>
        <w:t xml:space="preserve">, Mistral 7B asked whether the substance of the element is present in the document, returning a verdict and confidence; and (iv) an </w:t>
      </w:r>
      <w:r>
        <w:rPr>
          <w:rFonts w:ascii="Times New Roman" w:hAnsi="Times New Roman" w:eastAsia="Times New Roman"/>
          <w:i/>
          <w:sz w:val="20"/>
        </w:rPr>
        <w:t>ensemble</w:t>
      </w:r>
      <w:r>
        <w:rPr>
          <w:rFonts w:ascii="Times New Roman" w:hAnsi="Times New Roman" w:eastAsia="Times New Roman"/>
          <w:sz w:val="20"/>
        </w:rPr>
        <w:t xml:space="preserve"> that shifts each member’s present-score by that member’s own threshold (so that 0.5 means “present” for every member) and takes the maximum, i.e. it calls an element present if any member does.</w:t>
      </w:r>
    </w:p>
    <w:p>
      <w:pPr>
        <w:keepNext/>
        <w:spacing w:before="120" w:after="60" w:line="240" w:lineRule="auto"/>
        <w:jc w:val="left"/>
      </w:pPr>
      <w:r>
        <w:rPr>
          <w:rFonts w:ascii="Times New Roman" w:hAnsi="Times New Roman" w:eastAsia="Times New Roman"/>
          <w:i/>
          <w:sz w:val="20"/>
        </w:rPr>
        <w:t xml:space="preserve">C. </w:t>
      </w:r>
      <w:r>
        <w:rPr>
          <w:rFonts w:ascii="Times New Roman" w:hAnsi="Times New Roman" w:eastAsia="Times New Roman"/>
          <w:i/>
          <w:sz w:val="20"/>
        </w:rPr>
        <w:t>Evaluation design</w:t>
      </w:r>
    </w:p>
    <w:p>
      <w:pPr>
        <w:spacing w:before="0" w:after="0" w:line="240" w:lineRule="auto"/>
        <w:ind w:firstLine="200"/>
        <w:jc w:val="both"/>
      </w:pPr>
      <w:r>
        <w:rPr>
          <w:rFonts w:ascii="Times New Roman" w:hAnsi="Times New Roman" w:eastAsia="Times New Roman"/>
          <w:b/>
          <w:sz w:val="20"/>
        </w:rPr>
        <w:t>The base-rate problem.</w:t>
      </w:r>
      <w:r>
        <w:rPr>
          <w:rFonts w:ascii="Times New Roman" w:hAnsi="Times New Roman" w:eastAsia="Times New Roman"/>
          <w:sz w:val="20"/>
        </w:rPr>
        <w:t xml:space="preserve"> Most elements in real summaries are gaps: in the NLI-labelled QMSum tier the gap rate is 0.93, where a detector that answers “gap” to everything obtains a gap-class F1 of about 0.96. Gap F1 alone is therefore nearly uninformative. We report </w:t>
      </w:r>
      <w:r>
        <w:rPr>
          <w:rFonts w:ascii="Times New Roman" w:hAnsi="Times New Roman" w:eastAsia="Times New Roman"/>
          <w:i/>
          <w:sz w:val="20"/>
        </w:rPr>
        <w:t>balanced accuracy</w:t>
      </w:r>
      <w:r>
        <w:rPr>
          <w:rFonts w:ascii="Times New Roman" w:hAnsi="Times New Roman" w:eastAsia="Times New Roman"/>
          <w:sz w:val="20"/>
        </w:rPr>
        <w:t xml:space="preserve"> (the mean of gap and present recall, 0.5 for any constant detector) and </w:t>
      </w:r>
      <w:r>
        <w:rPr>
          <w:rFonts w:ascii="Times New Roman" w:hAnsi="Times New Roman" w:eastAsia="Times New Roman"/>
          <w:i/>
          <w:sz w:val="20"/>
        </w:rPr>
        <w:t>present-class F1</w:t>
      </w:r>
      <w:r>
        <w:rPr>
          <w:rFonts w:ascii="Times New Roman" w:hAnsi="Times New Roman" w:eastAsia="Times New Roman"/>
          <w:sz w:val="20"/>
        </w:rPr>
        <w:t xml:space="preserve"> beside every gap F1, and make detector comparisons on the class-balanced synthetic tier.</w:t>
      </w:r>
    </w:p>
    <w:p>
      <w:pPr>
        <w:spacing w:before="0" w:after="0" w:line="240" w:lineRule="auto"/>
        <w:ind w:firstLine="200"/>
        <w:jc w:val="both"/>
      </w:pPr>
      <w:r>
        <w:rPr>
          <w:rFonts w:ascii="Times New Roman" w:hAnsi="Times New Roman" w:eastAsia="Times New Roman"/>
          <w:b/>
          <w:sz w:val="20"/>
        </w:rPr>
        <w:t>Completeness.</w:t>
      </w:r>
      <w:r>
        <w:rPr>
          <w:rFonts w:ascii="Times New Roman" w:hAnsi="Times New Roman" w:eastAsia="Times New Roman"/>
          <w:sz w:val="20"/>
        </w:rPr>
        <w:t xml:space="preserve"> Extraction is scored as the fraction of hand-labelled reasoning elements matched by some extracted element. Because correct extractions are often worded differently, we report two matchers and never one alone: </w:t>
      </w:r>
      <w:r>
        <w:rPr>
          <w:rFonts w:ascii="Times New Roman" w:hAnsi="Times New Roman" w:eastAsia="Times New Roman"/>
          <w:i/>
          <w:sz w:val="20"/>
        </w:rPr>
        <w:t>lexical</w:t>
      </w:r>
      <w:r>
        <w:rPr>
          <w:rFonts w:ascii="Times New Roman" w:hAnsi="Times New Roman" w:eastAsia="Times New Roman"/>
          <w:sz w:val="20"/>
        </w:rPr>
        <w:t xml:space="preserve"> (token F1 </w:t>
      </w:r>
      <w:r>
        <w:rPr>
          <w:rFonts w:ascii="Times New Roman" w:hAnsi="Times New Roman" w:eastAsia="Times New Roman"/>
          <w:sz w:val="20"/>
        </w:rPr>
        <w:t>≥</w:t>
      </w:r>
      <w:r>
        <w:rPr>
          <w:rFonts w:ascii="Times New Roman" w:hAnsi="Times New Roman" w:eastAsia="Times New Roman"/>
          <w:sz w:val="20"/>
        </w:rPr>
        <w:t xml:space="preserve"> 0.45) and </w:t>
      </w:r>
      <w:r>
        <w:rPr>
          <w:rFonts w:ascii="Times New Roman" w:hAnsi="Times New Roman" w:eastAsia="Times New Roman"/>
          <w:i/>
          <w:sz w:val="20"/>
        </w:rPr>
        <w:t>semantic</w:t>
      </w:r>
      <w:r>
        <w:rPr>
          <w:rFonts w:ascii="Times New Roman" w:hAnsi="Times New Roman" w:eastAsia="Times New Roman"/>
          <w:sz w:val="20"/>
        </w:rPr>
        <w:t xml:space="preserve"> (cosine similarity of all-MiniLM-L6-v2 sentence embeddings [14] </w:t>
      </w:r>
      <w:r>
        <w:rPr>
          <w:rFonts w:ascii="Times New Roman" w:hAnsi="Times New Roman" w:eastAsia="Times New Roman"/>
          <w:sz w:val="20"/>
        </w:rPr>
        <w:t>≥</w:t>
      </w:r>
      <w:r>
        <w:rPr>
          <w:rFonts w:ascii="Times New Roman" w:hAnsi="Times New Roman" w:eastAsia="Times New Roman"/>
          <w:sz w:val="20"/>
        </w:rPr>
        <w:t xml:space="preserve"> 0.55).</w:t>
      </w:r>
    </w:p>
    <w:p>
      <w:pPr>
        <w:spacing w:before="0" w:after="0" w:line="240" w:lineRule="auto"/>
        <w:ind w:firstLine="200"/>
        <w:jc w:val="both"/>
      </w:pPr>
      <w:r>
        <w:rPr>
          <w:rFonts w:ascii="Times New Roman" w:hAnsi="Times New Roman" w:eastAsia="Times New Roman"/>
          <w:b/>
          <w:sz w:val="20"/>
        </w:rPr>
        <w:t>Hallucination.</w:t>
      </w:r>
      <w:r>
        <w:rPr>
          <w:rFonts w:ascii="Times New Roman" w:hAnsi="Times New Roman" w:eastAsia="Times New Roman"/>
          <w:sz w:val="20"/>
        </w:rPr>
        <w:t xml:space="preserve"> Each evidence quote is checked against its own source chunk after normalising case, punctuation and whitespace, and additionally ignoring transcription markers and filler words. The </w:t>
      </w:r>
      <w:r>
        <w:rPr>
          <w:rFonts w:ascii="Times New Roman" w:hAnsi="Times New Roman" w:eastAsia="Times New Roman"/>
          <w:i/>
          <w:sz w:val="20"/>
        </w:rPr>
        <w:t>unsupported-quote rate</w:t>
      </w:r>
      <w:r>
        <w:rPr>
          <w:rFonts w:ascii="Times New Roman" w:hAnsi="Times New Roman" w:eastAsia="Times New Roman"/>
          <w:sz w:val="20"/>
        </w:rPr>
        <w:t xml:space="preserve"> is the fraction of quotes not found under this check.</w:t>
      </w:r>
    </w:p>
    <w:p>
      <w:pPr>
        <w:keepNext/>
        <w:spacing w:before="200" w:after="80" w:line="240" w:lineRule="auto"/>
        <w:jc w:val="center"/>
      </w:pPr>
      <w:r>
        <w:rPr>
          <w:rFonts w:ascii="Times New Roman" w:hAnsi="Times New Roman" w:eastAsia="Times New Roman"/>
          <w:smallCaps/>
          <w:sz w:val="20"/>
        </w:rPr>
        <w:t xml:space="preserve">IV. </w:t>
      </w:r>
      <w:r>
        <w:rPr>
          <w:rFonts w:ascii="Times New Roman" w:hAnsi="Times New Roman" w:eastAsia="Times New Roman"/>
          <w:smallCaps/>
          <w:sz w:val="20"/>
        </w:rPr>
        <w:t>Dataset: adhd_v1</w:t>
      </w:r>
    </w:p>
    <w:p>
      <w:pPr>
        <w:spacing w:before="0" w:after="0" w:line="240" w:lineRule="auto"/>
        <w:ind w:firstLine="200"/>
        <w:jc w:val="both"/>
      </w:pPr>
      <w:r>
        <w:rPr>
          <w:rFonts w:ascii="Times New Roman" w:hAnsi="Times New Roman" w:eastAsia="Times New Roman"/>
          <w:sz w:val="20"/>
        </w:rPr>
        <w:t xml:space="preserve">Table I summarises the benchmark. Each pair contains a transcript, a short document, reasoning elements, and a per-element label: </w:t>
      </w:r>
      <w:r>
        <w:rPr>
          <w:rFonts w:ascii="Times New Roman" w:hAnsi="Times New Roman" w:eastAsia="Times New Roman"/>
          <w:i/>
          <w:sz w:val="20"/>
        </w:rPr>
        <w:t>omitted</w:t>
      </w:r>
      <w:r>
        <w:rPr>
          <w:rFonts w:ascii="Times New Roman" w:hAnsi="Times New Roman" w:eastAsia="Times New Roman"/>
          <w:sz w:val="20"/>
        </w:rPr>
        <w:t xml:space="preserve"> (a gap), </w:t>
      </w:r>
      <w:r>
        <w:rPr>
          <w:rFonts w:ascii="Times New Roman" w:hAnsi="Times New Roman" w:eastAsia="Times New Roman"/>
          <w:i/>
          <w:sz w:val="20"/>
        </w:rPr>
        <w:t>verbatim</w:t>
      </w:r>
      <w:r>
        <w:rPr>
          <w:rFonts w:ascii="Times New Roman" w:hAnsi="Times New Roman" w:eastAsia="Times New Roman"/>
          <w:sz w:val="20"/>
        </w:rPr>
        <w:t xml:space="preserve">, </w:t>
      </w:r>
      <w:r>
        <w:rPr>
          <w:rFonts w:ascii="Times New Roman" w:hAnsi="Times New Roman" w:eastAsia="Times New Roman"/>
          <w:i/>
          <w:sz w:val="20"/>
        </w:rPr>
        <w:t>paraphrased</w:t>
      </w:r>
      <w:r>
        <w:rPr>
          <w:rFonts w:ascii="Times New Roman" w:hAnsi="Times New Roman" w:eastAsia="Times New Roman"/>
          <w:sz w:val="20"/>
        </w:rPr>
        <w:t>, or present with unspecified wording.</w:t>
      </w:r>
    </w:p>
    <w:p>
      <w:pPr>
        <w:keepNext/>
        <w:spacing w:before="160" w:after="0" w:line="240" w:lineRule="auto"/>
        <w:jc w:val="center"/>
      </w:pPr>
      <w:r>
        <w:rPr>
          <w:rFonts w:ascii="Times New Roman" w:hAnsi="Times New Roman" w:eastAsia="Times New Roman"/>
          <w:smallCaps/>
          <w:sz w:val="16"/>
        </w:rPr>
        <w:t>TABLE I</w:t>
      </w:r>
    </w:p>
    <w:p>
      <w:pPr>
        <w:keepNext/>
        <w:spacing w:before="0" w:after="80" w:line="240" w:lineRule="auto"/>
        <w:jc w:val="center"/>
      </w:pPr>
      <w:r>
        <w:rPr>
          <w:rFonts w:ascii="Times New Roman" w:hAnsi="Times New Roman" w:eastAsia="Times New Roman"/>
          <w:smallCaps/>
          <w:sz w:val="16"/>
        </w:rPr>
        <w:t>The adhd_v1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385"/>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5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Pairs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Elements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rate</w:t>
            </w:r>
          </w:p>
        </w:tc>
        <w:tc>
          <w:tcPr>
            <w:tcW w:type="dxa" w:w="1140"/>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Labels</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Gold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0.76</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human</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Corpus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227</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4,930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0.93</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NLI @ 0.55</w:t>
            </w:r>
          </w:p>
        </w:tc>
      </w:tr>
      <w:tr>
        <w:tc>
          <w:tcPr>
            <w:tcW w:type="dxa" w:w="1385"/>
            <w:tcBorders>
              <w:top w:val="nil"/>
              <w:left w:val="nil"/>
              <w:bottom w:val="single" w:sz="4" w:color="000000"/>
              <w:right w:val="nil"/>
            </w:tcBorders>
          </w:tcPr>
          <w:p>
            <w:pPr>
              <w:pStyle w:val="IEEETableText"/>
              <w:keepNext/>
              <w:jc w:val="left"/>
            </w:pPr>
            <w:r>
              <w:rPr>
                <w:rFonts w:ascii="Times New Roman" w:hAnsi="Times New Roman" w:eastAsia="Times New Roman"/>
                <w:sz w:val="16"/>
              </w:rPr>
              <w:t>Synthetic</w:t>
            </w:r>
          </w:p>
        </w:tc>
        <w:tc>
          <w:tcPr>
            <w:tcW w:type="dxa" w:w="652"/>
            <w:tcBorders>
              <w:top w:val="nil"/>
              <w:left w:val="nil"/>
              <w:bottom w:val="single" w:sz="4" w:color="000000"/>
              <w:right w:val="nil"/>
            </w:tcBorders>
          </w:tcPr>
          <w:p>
            <w:pPr>
              <w:pStyle w:val="IEEETableText"/>
              <w:keepNext/>
              <w:jc w:val="right"/>
            </w:pPr>
            <w:r>
              <w:rPr>
                <w:rFonts w:ascii="Times New Roman" w:hAnsi="Times New Roman" w:eastAsia="Times New Roman"/>
                <w:sz w:val="16"/>
              </w:rPr>
              <w:t>139</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1,667</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0.59</w:t>
            </w:r>
          </w:p>
        </w:tc>
        <w:tc>
          <w:tcPr>
            <w:tcW w:type="dxa" w:w="1140"/>
            <w:tcBorders>
              <w:top w:val="nil"/>
              <w:left w:val="nil"/>
              <w:bottom w:val="single" w:sz="4" w:color="000000"/>
              <w:right w:val="nil"/>
            </w:tcBorders>
          </w:tcPr>
          <w:p>
            <w:pPr>
              <w:pStyle w:val="IEEETableText"/>
              <w:keepNext/>
              <w:jc w:val="left"/>
            </w:pPr>
            <w:r>
              <w:rPr>
                <w:rFonts w:ascii="Times New Roman" w:hAnsi="Times New Roman" w:eastAsia="Times New Roman"/>
                <w:sz w:val="16"/>
              </w:rPr>
              <w:t>constructed</w:t>
            </w:r>
          </w:p>
        </w:tc>
      </w:tr>
      <w:tr>
        <w:tc>
          <w:tcPr>
            <w:tcW w:type="dxa" w:w="1385"/>
            <w:tcBorders>
              <w:top w:val="nil"/>
              <w:left w:val="nil"/>
              <w:bottom w:val="single" w:sz="8" w:color="000000"/>
              <w:right w:val="nil"/>
            </w:tcBorders>
          </w:tcPr>
          <w:p>
            <w:pPr>
              <w:pStyle w:val="IEEETableText"/>
              <w:jc w:val="left"/>
            </w:pPr>
            <w:r>
              <w:rPr>
                <w:rFonts w:ascii="Times New Roman" w:hAnsi="Times New Roman" w:eastAsia="Times New Roman"/>
                <w:sz w:val="16"/>
              </w:rPr>
              <w:t>Total</w:t>
            </w:r>
          </w:p>
        </w:tc>
        <w:tc>
          <w:tcPr>
            <w:tcW w:type="dxa" w:w="652"/>
            <w:tcBorders>
              <w:top w:val="nil"/>
              <w:left w:val="nil"/>
              <w:bottom w:val="single" w:sz="8" w:color="000000"/>
              <w:right w:val="nil"/>
            </w:tcBorders>
          </w:tcPr>
          <w:p>
            <w:pPr>
              <w:pStyle w:val="IEEETableText"/>
              <w:jc w:val="right"/>
            </w:pPr>
            <w:r>
              <w:rPr>
                <w:rFonts w:ascii="Times New Roman" w:hAnsi="Times New Roman" w:eastAsia="Times New Roman"/>
                <w:sz w:val="16"/>
              </w:rPr>
              <w:t>371</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6,647</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0.84</w:t>
            </w:r>
          </w:p>
        </w:tc>
        <w:tc>
          <w:tcPr>
            <w:tcW w:type="dxa" w:w="1140"/>
            <w:tcBorders>
              <w:top w:val="nil"/>
              <w:left w:val="nil"/>
              <w:bottom w:val="single" w:sz="8" w:color="000000"/>
              <w:right w:val="nil"/>
            </w:tcBorders>
          </w:tcPr>
          <w:p>
            <w:pPr>
              <w:pStyle w:val="IEEETableText"/>
              <w:jc w:val="left"/>
            </w:pP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Gold.</w:t>
      </w:r>
      <w:r>
        <w:rPr>
          <w:rFonts w:ascii="Times New Roman" w:hAnsi="Times New Roman" w:eastAsia="Times New Roman"/>
          <w:sz w:val="20"/>
        </w:rPr>
        <w:t xml:space="preserve"> Five QMSum product-design meetings, hand-labelled against transcript spans. They are the trust anchor and the only meetings with reasoning ground truth for completeness scoring; with </w:t>
      </w:r>
      <w:r>
        <w:rPr>
          <w:rFonts w:ascii="Times New Roman" w:hAnsi="Times New Roman" w:eastAsia="Times New Roman"/>
          <w:i/>
          <w:sz w:val="20"/>
        </w:rPr>
        <w:t>n</w:t>
      </w:r>
      <w:r>
        <w:rPr>
          <w:rFonts w:ascii="Times New Roman" w:hAnsi="Times New Roman" w:eastAsia="Times New Roman"/>
          <w:sz w:val="20"/>
        </w:rPr>
        <w:t>=5</w:t>
      </w:r>
      <w:r>
        <w:rPr>
          <w:rFonts w:ascii="Times New Roman" w:hAnsi="Times New Roman" w:eastAsia="Times New Roman"/>
          <w:sz w:val="20"/>
        </w:rPr>
        <w:t xml:space="preserve"> and one domain they are a fixture, not an accuracy estimate.</w:t>
      </w:r>
    </w:p>
    <w:p>
      <w:pPr>
        <w:spacing w:before="0" w:after="0" w:line="240" w:lineRule="auto"/>
        <w:ind w:firstLine="200"/>
        <w:jc w:val="both"/>
      </w:pPr>
      <w:r>
        <w:rPr>
          <w:rFonts w:ascii="Times New Roman" w:hAnsi="Times New Roman" w:eastAsia="Times New Roman"/>
          <w:b/>
          <w:sz w:val="20"/>
        </w:rPr>
        <w:t>Corpus.</w:t>
      </w:r>
      <w:r>
        <w:rPr>
          <w:rFonts w:ascii="Times New Roman" w:hAnsi="Times New Roman" w:eastAsia="Times New Roman"/>
          <w:sz w:val="20"/>
        </w:rPr>
        <w:t xml:space="preserve"> All other 227 QMSum meetings (Academic 59, Committee 36, Product 132), with summaries split into 4,930 sentence-level elements labelled by the NLI detector at threshold 0.55, chosen on the gold pairs. These are </w:t>
      </w:r>
      <w:r>
        <w:rPr>
          <w:rFonts w:ascii="Times New Roman" w:hAnsi="Times New Roman" w:eastAsia="Times New Roman"/>
          <w:i/>
          <w:sz w:val="20"/>
        </w:rPr>
        <w:t>silver</w:t>
      </w:r>
      <w:r>
        <w:rPr>
          <w:rFonts w:ascii="Times New Roman" w:hAnsi="Times New Roman" w:eastAsia="Times New Roman"/>
          <w:sz w:val="20"/>
        </w:rPr>
        <w:t xml:space="preserve"> labels: scoring the NLI detector against them measures self-consistency, not accuracy, and we exclude that comparison.</w:t>
      </w:r>
    </w:p>
    <w:p>
      <w:pPr>
        <w:spacing w:before="0" w:after="0" w:line="240" w:lineRule="auto"/>
        <w:ind w:firstLine="200"/>
        <w:jc w:val="both"/>
      </w:pPr>
      <w:r>
        <w:rPr>
          <w:rFonts w:ascii="Times New Roman" w:hAnsi="Times New Roman" w:eastAsia="Times New Roman"/>
          <w:b/>
          <w:sz w:val="20"/>
        </w:rPr>
        <w:t>Human spot-check of the silver labels.</w:t>
      </w:r>
      <w:r>
        <w:rPr>
          <w:rFonts w:ascii="Times New Roman" w:hAnsi="Times New Roman" w:eastAsia="Times New Roman"/>
          <w:sz w:val="20"/>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spacing w:before="0" w:after="0" w:line="240" w:lineRule="auto"/>
        <w:ind w:firstLine="200"/>
        <w:jc w:val="both"/>
      </w:pPr>
      <w:r>
        <w:rPr>
          <w:rFonts w:ascii="Times New Roman" w:hAnsi="Times New Roman" w:eastAsia="Times New Roman"/>
          <w:b/>
          <w:sz w:val="20"/>
        </w:rPr>
        <w:t>Synthetic.</w:t>
      </w:r>
      <w:r>
        <w:rPr>
          <w:rFonts w:ascii="Times New Roman" w:hAnsi="Times New Roman" w:eastAsia="Times New Roman"/>
          <w:sz w:val="20"/>
        </w:rPr>
        <w:t xml:space="preserve"> 139 pairs generated by Mistral 7B across 12 organisational domains and 10 decision archetypes. Labels are </w:t>
      </w:r>
      <w:r>
        <w:rPr>
          <w:rFonts w:ascii="Times New Roman" w:hAnsi="Times New Roman" w:eastAsia="Times New Roman"/>
          <w:i/>
          <w:sz w:val="20"/>
        </w:rPr>
        <w:t>constructed</w:t>
      </w:r>
      <w:r>
        <w:rPr>
          <w:rFonts w:ascii="Times New Roman" w:hAnsi="Times New Roman" w:eastAsia="Times New Roman"/>
          <w:sz w:val="20"/>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keepNext/>
        <w:spacing w:before="200" w:after="80" w:line="240" w:lineRule="auto"/>
        <w:jc w:val="center"/>
      </w:pPr>
      <w:r>
        <w:rPr>
          <w:rFonts w:ascii="Times New Roman" w:hAnsi="Times New Roman" w:eastAsia="Times New Roman"/>
          <w:smallCaps/>
          <w:sz w:val="20"/>
        </w:rPr>
        <w:t xml:space="preserve">V. </w:t>
      </w:r>
      <w:r>
        <w:rPr>
          <w:rFonts w:ascii="Times New Roman" w:hAnsi="Times New Roman" w:eastAsia="Times New Roman"/>
          <w:smallCaps/>
          <w:sz w:val="20"/>
        </w:rPr>
        <w:t>Results: Gap Detection</w:t>
      </w:r>
    </w:p>
    <w:p>
      <w:pPr>
        <w:keepNext/>
        <w:spacing w:before="160" w:after="0" w:line="240" w:lineRule="auto"/>
        <w:jc w:val="center"/>
      </w:pPr>
      <w:r>
        <w:rPr>
          <w:rFonts w:ascii="Times New Roman" w:hAnsi="Times New Roman" w:eastAsia="Times New Roman"/>
          <w:smallCaps/>
          <w:sz w:val="16"/>
        </w:rPr>
        <w:t>TABLE II</w:t>
      </w:r>
    </w:p>
    <w:p>
      <w:pPr>
        <w:keepNext/>
        <w:spacing w:before="0" w:after="80" w:line="240" w:lineRule="auto"/>
        <w:jc w:val="center"/>
      </w:pPr>
      <w:r>
        <w:rPr>
          <w:rFonts w:ascii="Times New Roman" w:hAnsi="Times New Roman" w:eastAsia="Times New Roman"/>
          <w:smallCaps/>
          <w:sz w:val="16"/>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0"/>
        <w:gridCol w:w="1740"/>
        <w:gridCol w:w="1740"/>
        <w:gridCol w:w="1740"/>
        <w:gridCol w:w="1740"/>
        <w:gridCol w:w="1740"/>
      </w:tblGrid>
      <w:tr>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Detector</w:t>
            </w:r>
          </w:p>
        </w:tc>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2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9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F1</w:t>
            </w:r>
          </w:p>
        </w:tc>
        <w:tc>
          <w:tcPr>
            <w:tcW w:type="dxa" w:w="93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Bal. acc.</w:t>
            </w:r>
          </w:p>
        </w:tc>
        <w:tc>
          <w:tcPr>
            <w:tcW w:type="dxa" w:w="85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Pres. F1</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0.861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0.656</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0.476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0.771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0.629</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0.468</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0.884</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0.583</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0.286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0.857</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0.775</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0.715</w:t>
            </w:r>
          </w:p>
        </w:tc>
      </w:tr>
      <w:tr>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corpus</w:t>
            </w:r>
          </w:p>
        </w:tc>
        <w:tc>
          <w:tcPr>
            <w:tcW w:type="dxa" w:w="621"/>
            <w:tcBorders>
              <w:top w:val="nil"/>
              <w:left w:val="nil"/>
              <w:bottom w:val="single" w:sz="4" w:color="000000"/>
              <w:right w:val="nil"/>
            </w:tcBorders>
          </w:tcPr>
          <w:p>
            <w:pPr>
              <w:pStyle w:val="IEEETableText"/>
              <w:keepNext/>
              <w:jc w:val="right"/>
            </w:pPr>
            <w:r>
              <w:rPr>
                <w:rFonts w:ascii="Times New Roman" w:hAnsi="Times New Roman" w:eastAsia="Times New Roman"/>
                <w:sz w:val="16"/>
              </w:rPr>
              <w:t>4,930</w:t>
            </w:r>
          </w:p>
        </w:tc>
        <w:tc>
          <w:tcPr>
            <w:tcW w:type="dxa" w:w="699"/>
            <w:tcBorders>
              <w:top w:val="nil"/>
              <w:left w:val="nil"/>
              <w:bottom w:val="single" w:sz="4" w:color="000000"/>
              <w:right w:val="nil"/>
            </w:tcBorders>
          </w:tcPr>
          <w:p>
            <w:pPr>
              <w:pStyle w:val="IEEETableText"/>
              <w:keepNext/>
              <w:jc w:val="right"/>
            </w:pPr>
            <w:r>
              <w:rPr>
                <w:rFonts w:ascii="Times New Roman" w:hAnsi="Times New Roman" w:eastAsia="Times New Roman"/>
                <w:sz w:val="16"/>
              </w:rPr>
              <w:t>0.970</w:t>
            </w:r>
          </w:p>
        </w:tc>
        <w:tc>
          <w:tcPr>
            <w:tcW w:type="dxa" w:w="931"/>
            <w:tcBorders>
              <w:top w:val="nil"/>
              <w:left w:val="nil"/>
              <w:bottom w:val="single" w:sz="4" w:color="000000"/>
              <w:right w:val="nil"/>
            </w:tcBorders>
          </w:tcPr>
          <w:p>
            <w:pPr>
              <w:pStyle w:val="IEEETableText"/>
              <w:keepNext/>
              <w:jc w:val="right"/>
            </w:pPr>
            <w:r>
              <w:rPr>
                <w:rFonts w:ascii="Times New Roman" w:hAnsi="Times New Roman" w:eastAsia="Times New Roman"/>
                <w:sz w:val="16"/>
              </w:rPr>
              <w:t>0.669</w:t>
            </w:r>
          </w:p>
        </w:tc>
        <w:tc>
          <w:tcPr>
            <w:tcW w:type="dxa" w:w="854"/>
            <w:tcBorders>
              <w:top w:val="nil"/>
              <w:left w:val="nil"/>
              <w:bottom w:val="single" w:sz="4" w:color="000000"/>
              <w:right w:val="nil"/>
            </w:tcBorders>
          </w:tcPr>
          <w:p>
            <w:pPr>
              <w:pStyle w:val="IEEETableText"/>
              <w:keepNext/>
              <w:jc w:val="right"/>
            </w:pPr>
            <w:r>
              <w:rPr>
                <w:rFonts w:ascii="Times New Roman" w:hAnsi="Times New Roman" w:eastAsia="Times New Roman"/>
                <w:sz w:val="16"/>
              </w:rPr>
              <w:t>0.457</w:t>
            </w:r>
          </w:p>
        </w:tc>
      </w:tr>
      <w:tr>
        <w:tc>
          <w:tcPr>
            <w:tcW w:type="dxa" w:w="854"/>
            <w:gridSpan w:val="6"/>
            <w:tcBorders>
              <w:top w:val="nil"/>
              <w:left w:val="nil"/>
              <w:bottom w:val="nil"/>
              <w:right w:val="nil"/>
            </w:tcBorders>
          </w:tcPr>
          <w:p>
            <w:pPr>
              <w:pStyle w:val="IEEETableText"/>
              <w:keepNext/>
              <w:jc w:val="left"/>
            </w:pPr>
            <w:r>
              <w:rPr>
                <w:rFonts w:ascii="Times New Roman" w:hAnsi="Times New Roman" w:eastAsia="Times New Roman"/>
                <w:i/>
                <w:sz w:val="16"/>
              </w:rPr>
              <w:t>Same stratified sample, gold + synthetic (</w:t>
            </w:r>
            <w:r>
              <w:rPr>
                <w:rFonts w:ascii="Times New Roman" w:hAnsi="Times New Roman" w:eastAsia="Times New Roman"/>
                <w:i/>
                <w:sz w:val="16"/>
              </w:rPr>
              <w:t>n</w:t>
            </w:r>
            <w:r>
              <w:rPr>
                <w:rFonts w:ascii="Times New Roman" w:hAnsi="Times New Roman" w:eastAsia="Times New Roman"/>
                <w:i/>
                <w:sz w:val="16"/>
              </w:rPr>
              <w:t>=200</w:t>
            </w:r>
            <w:r>
              <w:rPr>
                <w:rFonts w:ascii="Times New Roman" w:hAnsi="Times New Roman" w:eastAsia="Times New Roman"/>
                <w:i/>
                <w:sz w:val="16"/>
              </w:rPr>
              <w:t>)</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0.611</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0.432</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0.728</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0.637</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LLM judge</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0.492</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0.596</w:t>
            </w:r>
          </w:p>
        </w:tc>
      </w:tr>
      <w:tr>
        <w:tc>
          <w:tcPr>
            <w:tcW w:type="dxa" w:w="931"/>
            <w:tcBorders>
              <w:top w:val="nil"/>
              <w:left w:val="nil"/>
              <w:bottom w:val="single" w:sz="8" w:color="000000"/>
              <w:right w:val="nil"/>
            </w:tcBorders>
          </w:tcPr>
          <w:p>
            <w:pPr>
              <w:pStyle w:val="IEEETableText"/>
              <w:jc w:val="left"/>
            </w:pPr>
            <w:r>
              <w:rPr>
                <w:rFonts w:ascii="Times New Roman" w:hAnsi="Times New Roman" w:eastAsia="Times New Roman"/>
                <w:sz w:val="16"/>
              </w:rPr>
              <w:t>Ensemble</w:t>
            </w:r>
          </w:p>
        </w:tc>
        <w:tc>
          <w:tcPr>
            <w:tcW w:type="dxa" w:w="931"/>
            <w:tcBorders>
              <w:top w:val="nil"/>
              <w:left w:val="nil"/>
              <w:bottom w:val="single" w:sz="8" w:color="000000"/>
              <w:right w:val="nil"/>
            </w:tcBorders>
          </w:tcPr>
          <w:p>
            <w:pPr>
              <w:pStyle w:val="IEEETableText"/>
              <w:jc w:val="left"/>
            </w:pPr>
          </w:p>
        </w:tc>
        <w:tc>
          <w:tcPr>
            <w:tcW w:type="dxa" w:w="621"/>
            <w:tcBorders>
              <w:top w:val="nil"/>
              <w:left w:val="nil"/>
              <w:bottom w:val="single" w:sz="8" w:color="000000"/>
              <w:right w:val="nil"/>
            </w:tcBorders>
          </w:tcPr>
          <w:p>
            <w:pPr>
              <w:pStyle w:val="IEEETableText"/>
              <w:jc w:val="right"/>
            </w:pPr>
            <w:r>
              <w:rPr>
                <w:rFonts w:ascii="Times New Roman" w:hAnsi="Times New Roman" w:eastAsia="Times New Roman"/>
                <w:sz w:val="16"/>
              </w:rPr>
              <w:t>200</w:t>
            </w:r>
          </w:p>
        </w:tc>
        <w:tc>
          <w:tcPr>
            <w:tcW w:type="dxa" w:w="699"/>
            <w:tcBorders>
              <w:top w:val="nil"/>
              <w:left w:val="nil"/>
              <w:bottom w:val="single" w:sz="8" w:color="000000"/>
              <w:right w:val="nil"/>
            </w:tcBorders>
          </w:tcPr>
          <w:p>
            <w:pPr>
              <w:pStyle w:val="IEEETableText"/>
              <w:jc w:val="right"/>
            </w:pPr>
            <w:r>
              <w:rPr>
                <w:rFonts w:ascii="Times New Roman" w:hAnsi="Times New Roman" w:eastAsia="Times New Roman"/>
                <w:sz w:val="16"/>
              </w:rPr>
              <w:t>–</w:t>
            </w:r>
          </w:p>
        </w:tc>
        <w:tc>
          <w:tcPr>
            <w:tcW w:type="dxa" w:w="931"/>
            <w:tcBorders>
              <w:top w:val="nil"/>
              <w:left w:val="nil"/>
              <w:bottom w:val="single" w:sz="8" w:color="000000"/>
              <w:right w:val="nil"/>
            </w:tcBorders>
          </w:tcPr>
          <w:p>
            <w:pPr>
              <w:pStyle w:val="IEEETableText"/>
              <w:jc w:val="right"/>
            </w:pPr>
            <w:r>
              <w:rPr>
                <w:rFonts w:ascii="Times New Roman" w:hAnsi="Times New Roman" w:eastAsia="Times New Roman"/>
                <w:sz w:val="16"/>
              </w:rPr>
              <w:t>0.521</w:t>
            </w:r>
          </w:p>
        </w:tc>
        <w:tc>
          <w:tcPr>
            <w:tcW w:type="dxa" w:w="854"/>
            <w:tcBorders>
              <w:top w:val="nil"/>
              <w:left w:val="nil"/>
              <w:bottom w:val="single" w:sz="8" w:color="000000"/>
              <w:right w:val="nil"/>
            </w:tcBorders>
          </w:tcPr>
          <w:p>
            <w:pPr>
              <w:pStyle w:val="IEEETableText"/>
              <w:jc w:val="right"/>
            </w:pPr>
            <w:r>
              <w:rPr>
                <w:rFonts w:ascii="Times New Roman" w:hAnsi="Times New Roman" w:eastAsia="Times New Roman"/>
                <w:sz w:val="16"/>
              </w:rPr>
              <w:t>0.624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sz w:val="20"/>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spacing w:before="0" w:after="0" w:line="240" w:lineRule="auto"/>
        <w:ind w:firstLine="200"/>
        <w:jc w:val="both"/>
      </w:pPr>
      <w:r>
        <w:rPr>
          <w:rFonts w:ascii="Times New Roman" w:hAnsi="Times New Roman" w:eastAsia="Times New Roman"/>
          <w:b/>
          <w:sz w:val="20"/>
        </w:rPr>
        <w:t>NLI cannot see content that survived.</w:t>
      </w:r>
      <w:r>
        <w:rPr>
          <w:rFonts w:ascii="Times New Roman" w:hAnsi="Times New Roman" w:eastAsia="Times New Roman"/>
          <w:sz w:val="20"/>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spacing w:before="0" w:after="0" w:line="240" w:lineRule="auto"/>
        <w:ind w:firstLine="200"/>
        <w:jc w:val="both"/>
      </w:pPr>
      <w:r>
        <w:rPr>
          <w:rFonts w:ascii="Times New Roman" w:hAnsi="Times New Roman" w:eastAsia="Times New Roman"/>
          <w:b/>
          <w:sz w:val="20"/>
        </w:rPr>
        <w:t>The LLM judge is at chance.</w:t>
      </w:r>
      <w:r>
        <w:rPr>
          <w:rFonts w:ascii="Times New Roman" w:hAnsi="Times New Roman" w:eastAsia="Times New Roman"/>
          <w:sz w:val="20"/>
        </w:rPr>
        <w:t xml:space="preserve"> On a 296-element stratified sample, the Mistral 7B judge labelled about 95% of elements as present, including obvious omissions, for a gap recall of 0.047 and balanced accuracy of 0.495; the ensemble, which calls an element present if any member does, inherits this bias (0.516 at the common 0.55 threshold; at its designed 0.5 operating point it labels every sampled element present). We verified that the judge received the short summaries and correct labels, so this is a genuine yes-bias under a fixed prompt, consistent with known LLM-judge biases [8], and not a pipeline error.</w:t>
      </w:r>
    </w:p>
    <w:p>
      <w:pPr>
        <w:spacing w:before="0" w:after="0" w:line="240" w:lineRule="auto"/>
        <w:ind w:firstLine="200"/>
        <w:jc w:val="both"/>
      </w:pPr>
      <w:r>
        <w:rPr>
          <w:rFonts w:ascii="Times New Roman" w:hAnsi="Times New Roman" w:eastAsia="Times New Roman"/>
          <w:b/>
          <w:sz w:val="20"/>
        </w:rPr>
        <w:t>Base-rate distortion.</w:t>
      </w:r>
      <w:r>
        <w:rPr>
          <w:rFonts w:ascii="Times New Roman" w:hAnsi="Times New Roman" w:eastAsia="Times New Roman"/>
          <w:sz w:val="20"/>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keepNext/>
        <w:spacing w:before="200" w:after="80" w:line="240" w:lineRule="auto"/>
        <w:jc w:val="center"/>
      </w:pPr>
      <w:r>
        <w:rPr>
          <w:rFonts w:ascii="Times New Roman" w:hAnsi="Times New Roman" w:eastAsia="Times New Roman"/>
          <w:smallCaps/>
          <w:sz w:val="20"/>
        </w:rPr>
        <w:t xml:space="preserve">VI. </w:t>
      </w:r>
      <w:r>
        <w:rPr>
          <w:rFonts w:ascii="Times New Roman" w:hAnsi="Times New Roman" w:eastAsia="Times New Roman"/>
          <w:smallCaps/>
          <w:sz w:val="20"/>
        </w:rPr>
        <w:t>Results: Extraction and Its Ceiling</w:t>
      </w:r>
    </w:p>
    <w:p>
      <w:pPr>
        <w:keepNext/>
        <w:spacing w:before="160" w:after="0" w:line="240" w:lineRule="auto"/>
        <w:jc w:val="center"/>
      </w:pPr>
      <w:r>
        <w:rPr>
          <w:rFonts w:ascii="Times New Roman" w:hAnsi="Times New Roman" w:eastAsia="Times New Roman"/>
          <w:smallCaps/>
          <w:sz w:val="16"/>
        </w:rPr>
        <w:t>TABLE III</w:t>
      </w:r>
    </w:p>
    <w:p>
      <w:pPr>
        <w:keepNext/>
        <w:spacing w:before="0" w:after="80" w:line="240" w:lineRule="auto"/>
        <w:jc w:val="center"/>
      </w:pPr>
      <w:r>
        <w:rPr>
          <w:rFonts w:ascii="Times New Roman" w:hAnsi="Times New Roman" w:eastAsia="Times New Roman"/>
          <w:smallCaps/>
          <w:sz w:val="16"/>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127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Meeting</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Lexical</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Semantic</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0.455</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0.636</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QSUM_002</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0.500</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0.875</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QSUM_003</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0.111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0.222</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QSUM_004</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0.286</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0.643</w:t>
            </w:r>
          </w:p>
        </w:tc>
      </w:tr>
      <w:tr>
        <w:tc>
          <w:tcPr>
            <w:tcW w:type="dxa" w:w="1271"/>
            <w:tcBorders>
              <w:top w:val="nil"/>
              <w:left w:val="nil"/>
              <w:bottom w:val="single" w:sz="4" w:color="000000"/>
              <w:right w:val="nil"/>
            </w:tcBorders>
          </w:tcPr>
          <w:p>
            <w:pPr>
              <w:pStyle w:val="IEEETableText"/>
              <w:keepNext/>
              <w:jc w:val="left"/>
            </w:pPr>
            <w:r>
              <w:rPr>
                <w:rFonts w:ascii="Times New Roman" w:hAnsi="Times New Roman" w:eastAsia="Times New Roman"/>
                <w:sz w:val="16"/>
              </w:rPr>
              <w:t>QSUM_005</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0.333</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0.500</w:t>
            </w:r>
          </w:p>
        </w:tc>
      </w:tr>
      <w:tr>
        <w:tc>
          <w:tcPr>
            <w:tcW w:type="dxa" w:w="1271"/>
            <w:tcBorders>
              <w:top w:val="nil"/>
              <w:left w:val="nil"/>
              <w:bottom w:val="single" w:sz="8" w:color="000000"/>
              <w:right w:val="nil"/>
            </w:tcBorders>
          </w:tcPr>
          <w:p>
            <w:pPr>
              <w:pStyle w:val="IEEETableText"/>
              <w:jc w:val="left"/>
            </w:pPr>
            <w:r>
              <w:rPr>
                <w:rFonts w:ascii="Times New Roman" w:hAnsi="Times New Roman" w:eastAsia="Times New Roman"/>
                <w:sz w:val="16"/>
              </w:rPr>
              <w:t>Pooled</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0.333</w:t>
            </w:r>
            <w:r>
              <w:rPr>
                <w:rFonts w:ascii="Times New Roman" w:hAnsi="Times New Roman" w:eastAsia="Times New Roman"/>
                <w:sz w:val="16"/>
              </w:rPr>
              <w:t xml:space="preserve"> (16/48)</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0.583</w:t>
            </w:r>
            <w:r>
              <w:rPr>
                <w:rFonts w:ascii="Times New Roman" w:hAnsi="Times New Roman" w:eastAsia="Times New Roman"/>
                <w:sz w:val="16"/>
              </w:rPr>
              <w:t xml:space="preserve"> (28/48)</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Completeness is a range.</w:t>
      </w:r>
      <w:r>
        <w:rPr>
          <w:rFonts w:ascii="Times New Roman" w:hAnsi="Times New Roman" w:eastAsia="Times New Roman"/>
          <w:sz w:val="20"/>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keepNext/>
        <w:spacing w:before="160" w:after="0" w:line="240" w:lineRule="auto"/>
        <w:jc w:val="center"/>
      </w:pPr>
      <w:r>
        <w:rPr>
          <w:rFonts w:ascii="Times New Roman" w:hAnsi="Times New Roman" w:eastAsia="Times New Roman"/>
          <w:smallCaps/>
          <w:sz w:val="16"/>
        </w:rPr>
        <w:t>TABLE IV</w:t>
      </w:r>
    </w:p>
    <w:p>
      <w:pPr>
        <w:keepNext/>
        <w:spacing w:before="0" w:after="80" w:line="240" w:lineRule="auto"/>
        <w:jc w:val="center"/>
      </w:pPr>
      <w:r>
        <w:rPr>
          <w:rFonts w:ascii="Times New Roman" w:hAnsi="Times New Roman" w:eastAsia="Times New Roman"/>
          <w:smallCaps/>
          <w:sz w:val="16"/>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0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Domain</w:t>
            </w:r>
          </w:p>
        </w:tc>
        <w:tc>
          <w:tcPr>
            <w:tcW w:type="dxa" w:w="95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Meetings</w:t>
            </w:r>
          </w:p>
        </w:tc>
        <w:tc>
          <w:tcPr>
            <w:tcW w:type="dxa" w:w="78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Quotes</w:t>
            </w:r>
          </w:p>
        </w:tc>
        <w:tc>
          <w:tcPr>
            <w:tcW w:type="dxa" w:w="87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w:t>
            </w:r>
          </w:p>
        </w:tc>
        <w:tc>
          <w:tcPr>
            <w:tcW w:type="dxa" w:w="1307"/>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Excl. tidied</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Academic</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59</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6,341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26.7%</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7.6%</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Committee</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36</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5,441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5.1%</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3.6%</w:t>
            </w:r>
          </w:p>
        </w:tc>
      </w:tr>
      <w:tr>
        <w:tc>
          <w:tcPr>
            <w:tcW w:type="dxa" w:w="1046"/>
            <w:tcBorders>
              <w:top w:val="nil"/>
              <w:left w:val="nil"/>
              <w:bottom w:val="single" w:sz="4" w:color="000000"/>
              <w:right w:val="nil"/>
            </w:tcBorders>
          </w:tcPr>
          <w:p>
            <w:pPr>
              <w:pStyle w:val="IEEETableText"/>
              <w:keepNext/>
              <w:jc w:val="left"/>
            </w:pPr>
            <w:r>
              <w:rPr>
                <w:rFonts w:ascii="Times New Roman" w:hAnsi="Times New Roman" w:eastAsia="Times New Roman"/>
                <w:sz w:val="16"/>
              </w:rPr>
              <w:t>Product</w:t>
            </w:r>
          </w:p>
        </w:tc>
        <w:tc>
          <w:tcPr>
            <w:tcW w:type="dxa" w:w="959"/>
            <w:tcBorders>
              <w:top w:val="nil"/>
              <w:left w:val="nil"/>
              <w:bottom w:val="single" w:sz="4" w:color="000000"/>
              <w:right w:val="nil"/>
            </w:tcBorders>
          </w:tcPr>
          <w:p>
            <w:pPr>
              <w:pStyle w:val="IEEETableText"/>
              <w:keepNext/>
              <w:jc w:val="right"/>
            </w:pPr>
            <w:r>
              <w:rPr>
                <w:rFonts w:ascii="Times New Roman" w:hAnsi="Times New Roman" w:eastAsia="Times New Roman"/>
                <w:sz w:val="16"/>
              </w:rPr>
              <w:t>132</w:t>
            </w:r>
          </w:p>
        </w:tc>
        <w:tc>
          <w:tcPr>
            <w:tcW w:type="dxa" w:w="784"/>
            <w:tcBorders>
              <w:top w:val="nil"/>
              <w:left w:val="nil"/>
              <w:bottom w:val="single" w:sz="4" w:color="000000"/>
              <w:right w:val="nil"/>
            </w:tcBorders>
          </w:tcPr>
          <w:p>
            <w:pPr>
              <w:pStyle w:val="IEEETableText"/>
              <w:keepNext/>
              <w:jc w:val="right"/>
            </w:pPr>
            <w:r>
              <w:rPr>
                <w:rFonts w:ascii="Times New Roman" w:hAnsi="Times New Roman" w:eastAsia="Times New Roman"/>
                <w:sz w:val="16"/>
              </w:rPr>
              <w:t>10,167</w:t>
            </w:r>
          </w:p>
        </w:tc>
        <w:tc>
          <w:tcPr>
            <w:tcW w:type="dxa" w:w="872"/>
            <w:tcBorders>
              <w:top w:val="nil"/>
              <w:left w:val="nil"/>
              <w:bottom w:val="single" w:sz="4" w:color="000000"/>
              <w:right w:val="nil"/>
            </w:tcBorders>
          </w:tcPr>
          <w:p>
            <w:pPr>
              <w:pStyle w:val="IEEETableText"/>
              <w:keepNext/>
              <w:jc w:val="right"/>
            </w:pPr>
            <w:r>
              <w:rPr>
                <w:rFonts w:ascii="Times New Roman" w:hAnsi="Times New Roman" w:eastAsia="Times New Roman"/>
                <w:sz w:val="16"/>
              </w:rPr>
              <w:t>12.0%</w:t>
            </w:r>
          </w:p>
        </w:tc>
        <w:tc>
          <w:tcPr>
            <w:tcW w:type="dxa" w:w="1307"/>
            <w:tcBorders>
              <w:top w:val="nil"/>
              <w:left w:val="nil"/>
              <w:bottom w:val="single" w:sz="4" w:color="000000"/>
              <w:right w:val="nil"/>
            </w:tcBorders>
          </w:tcPr>
          <w:p>
            <w:pPr>
              <w:pStyle w:val="IEEETableText"/>
              <w:keepNext/>
              <w:jc w:val="right"/>
            </w:pPr>
            <w:r>
              <w:rPr>
                <w:rFonts w:ascii="Times New Roman" w:hAnsi="Times New Roman" w:eastAsia="Times New Roman"/>
                <w:sz w:val="16"/>
              </w:rPr>
              <w:t>5.1%</w:t>
            </w:r>
          </w:p>
        </w:tc>
      </w:tr>
      <w:tr>
        <w:tc>
          <w:tcPr>
            <w:tcW w:type="dxa" w:w="1046"/>
            <w:tcBorders>
              <w:top w:val="nil"/>
              <w:left w:val="nil"/>
              <w:bottom w:val="single" w:sz="8" w:color="000000"/>
              <w:right w:val="nil"/>
            </w:tcBorders>
          </w:tcPr>
          <w:p>
            <w:pPr>
              <w:pStyle w:val="IEEETableText"/>
              <w:jc w:val="left"/>
            </w:pPr>
            <w:r>
              <w:rPr>
                <w:rFonts w:ascii="Times New Roman" w:hAnsi="Times New Roman" w:eastAsia="Times New Roman"/>
                <w:sz w:val="16"/>
              </w:rPr>
              <w:t>All</w:t>
            </w:r>
          </w:p>
        </w:tc>
        <w:tc>
          <w:tcPr>
            <w:tcW w:type="dxa" w:w="959"/>
            <w:tcBorders>
              <w:top w:val="nil"/>
              <w:left w:val="nil"/>
              <w:bottom w:val="single" w:sz="8" w:color="000000"/>
              <w:right w:val="nil"/>
            </w:tcBorders>
          </w:tcPr>
          <w:p>
            <w:pPr>
              <w:pStyle w:val="IEEETableText"/>
              <w:jc w:val="right"/>
            </w:pPr>
            <w:r>
              <w:rPr>
                <w:rFonts w:ascii="Times New Roman" w:hAnsi="Times New Roman" w:eastAsia="Times New Roman"/>
                <w:sz w:val="16"/>
              </w:rPr>
              <w:t>227</w:t>
            </w:r>
          </w:p>
        </w:tc>
        <w:tc>
          <w:tcPr>
            <w:tcW w:type="dxa" w:w="784"/>
            <w:tcBorders>
              <w:top w:val="nil"/>
              <w:left w:val="nil"/>
              <w:bottom w:val="single" w:sz="8" w:color="000000"/>
              <w:right w:val="nil"/>
            </w:tcBorders>
          </w:tcPr>
          <w:p>
            <w:pPr>
              <w:pStyle w:val="IEEETableText"/>
              <w:jc w:val="right"/>
            </w:pPr>
            <w:r>
              <w:rPr>
                <w:rFonts w:ascii="Times New Roman" w:hAnsi="Times New Roman" w:eastAsia="Times New Roman"/>
                <w:sz w:val="16"/>
              </w:rPr>
              <w:t>21,949</w:t>
            </w:r>
          </w:p>
        </w:tc>
        <w:tc>
          <w:tcPr>
            <w:tcW w:type="dxa" w:w="872"/>
            <w:tcBorders>
              <w:top w:val="nil"/>
              <w:left w:val="nil"/>
              <w:bottom w:val="single" w:sz="8" w:color="000000"/>
              <w:right w:val="nil"/>
            </w:tcBorders>
          </w:tcPr>
          <w:p>
            <w:pPr>
              <w:pStyle w:val="IEEETableText"/>
              <w:jc w:val="right"/>
            </w:pPr>
            <w:r>
              <w:rPr>
                <w:rFonts w:ascii="Times New Roman" w:hAnsi="Times New Roman" w:eastAsia="Times New Roman"/>
                <w:sz w:val="16"/>
              </w:rPr>
              <w:t>14.6%</w:t>
            </w:r>
          </w:p>
        </w:tc>
        <w:tc>
          <w:tcPr>
            <w:tcW w:type="dxa" w:w="1307"/>
            <w:tcBorders>
              <w:top w:val="nil"/>
              <w:left w:val="nil"/>
              <w:bottom w:val="single" w:sz="8" w:color="000000"/>
              <w:right w:val="nil"/>
            </w:tcBorders>
          </w:tcPr>
          <w:p>
            <w:pPr>
              <w:pStyle w:val="IEEETableText"/>
              <w:jc w:val="right"/>
            </w:pPr>
            <w:r>
              <w:rPr>
                <w:rFonts w:ascii="Times New Roman" w:hAnsi="Times New Roman" w:eastAsia="Times New Roman"/>
                <w:sz w:val="16"/>
              </w:rPr>
              <w:t>5.4%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Grounding across domains.</w:t>
      </w:r>
      <w:r>
        <w:rPr>
          <w:rFonts w:ascii="Times New Roman" w:hAnsi="Times New Roman" w:eastAsia="Times New Roman"/>
          <w:sz w:val="20"/>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keepNext/>
        <w:spacing w:before="160" w:after="0" w:line="240" w:lineRule="auto"/>
        <w:jc w:val="center"/>
      </w:pPr>
      <w:r>
        <w:rPr>
          <w:rFonts w:ascii="Times New Roman" w:hAnsi="Times New Roman" w:eastAsia="Times New Roman"/>
          <w:smallCaps/>
          <w:sz w:val="16"/>
        </w:rPr>
        <w:t>TABLE V</w:t>
      </w:r>
    </w:p>
    <w:p>
      <w:pPr>
        <w:keepNext/>
        <w:spacing w:before="0" w:after="80" w:line="240" w:lineRule="auto"/>
        <w:jc w:val="center"/>
      </w:pPr>
      <w:r>
        <w:rPr>
          <w:rFonts w:ascii="Times New Roman" w:hAnsi="Times New Roman" w:eastAsia="Times New Roman"/>
          <w:smallCaps/>
          <w:sz w:val="16"/>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38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Failure category</w:t>
            </w:r>
          </w:p>
        </w:tc>
        <w:tc>
          <w:tcPr>
            <w:tcW w:type="dxa" w:w="48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4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Share</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implicit (connection never stated)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6</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30%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scattered (turns far apart)</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Paraphrase miss (scorer did not match)</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Out of scope (local, not extracted)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4</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Chunk boundary</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0</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0%</w:t>
            </w:r>
          </w:p>
        </w:tc>
      </w:tr>
      <w:tr>
        <w:tc>
          <w:tcPr>
            <w:tcW w:type="dxa" w:w="3846"/>
            <w:tcBorders>
              <w:top w:val="nil"/>
              <w:left w:val="nil"/>
              <w:bottom w:val="single" w:sz="8" w:color="000000"/>
              <w:right w:val="nil"/>
            </w:tcBorders>
          </w:tcPr>
          <w:p>
            <w:pPr>
              <w:pStyle w:val="IEEETableText"/>
              <w:jc w:val="left"/>
            </w:pPr>
            <w:r>
              <w:rPr>
                <w:rFonts w:ascii="Times New Roman" w:hAnsi="Times New Roman" w:eastAsia="Times New Roman"/>
                <w:sz w:val="16"/>
              </w:rPr>
              <w:t>Hallucination</w:t>
            </w:r>
          </w:p>
        </w:tc>
        <w:tc>
          <w:tcPr>
            <w:tcW w:type="dxa" w:w="48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c>
          <w:tcPr>
            <w:tcW w:type="dxa" w:w="64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Why the ceiling exists.</w:t>
      </w:r>
      <w:r>
        <w:rPr>
          <w:rFonts w:ascii="Times New Roman" w:hAnsi="Times New Roman" w:eastAsia="Times New Roman"/>
          <w:sz w:val="20"/>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keepNext/>
        <w:spacing w:before="200" w:after="80" w:line="240" w:lineRule="auto"/>
        <w:jc w:val="center"/>
      </w:pPr>
      <w:r>
        <w:rPr>
          <w:rFonts w:ascii="Times New Roman" w:hAnsi="Times New Roman" w:eastAsia="Times New Roman"/>
          <w:smallCaps/>
          <w:sz w:val="20"/>
        </w:rPr>
        <w:t xml:space="preserve">VII. </w:t>
      </w:r>
      <w:r>
        <w:rPr>
          <w:rFonts w:ascii="Times New Roman" w:hAnsi="Times New Roman" w:eastAsia="Times New Roman"/>
          <w:smallCaps/>
          <w:sz w:val="20"/>
        </w:rPr>
        <w:t>Comparative Analysis</w:t>
      </w:r>
    </w:p>
    <w:p>
      <w:pPr>
        <w:sectPr>
          <w:type w:val="continuous"/>
          <w:pgSz w:w="12240" w:h="15840"/>
          <w:pgMar w:top="1080" w:right="900" w:bottom="1440" w:left="900" w:header="720" w:footer="720" w:gutter="0"/>
          <w:cols w:space="360" w:num="2"/>
          <w:docGrid w:linePitch="360"/>
        </w:sectPr>
      </w:pPr>
    </w:p>
    <w:p>
      <w:pPr>
        <w:keepNext/>
        <w:spacing w:before="160" w:after="0" w:line="240" w:lineRule="auto"/>
        <w:jc w:val="center"/>
      </w:pPr>
      <w:r>
        <w:rPr>
          <w:rFonts w:ascii="Times New Roman" w:hAnsi="Times New Roman" w:eastAsia="Times New Roman"/>
          <w:smallCaps/>
          <w:sz w:val="16"/>
        </w:rPr>
        <w:t>TABLE VI</w:t>
      </w:r>
    </w:p>
    <w:p>
      <w:pPr>
        <w:keepNext/>
        <w:spacing w:before="0" w:after="80" w:line="240" w:lineRule="auto"/>
        <w:jc w:val="center"/>
      </w:pPr>
      <w:r>
        <w:rPr>
          <w:rFonts w:ascii="Times New Roman" w:hAnsi="Times New Roman" w:eastAsia="Times New Roman"/>
          <w:smallCaps/>
          <w:sz w:val="16"/>
        </w:rPr>
        <w:t xml:space="preserve">Comparative analysis on the five hand-labelled meetings. Rows marked </w:t>
      </w:r>
      <w:r>
        <w:rPr>
          <w:rFonts w:ascii="Times New Roman" w:hAnsi="Times New Roman" w:eastAsia="Times New Roman"/>
          <w:smallCaps/>
          <w:sz w:val="16"/>
          <w:vertAlign w:val="superscript"/>
        </w:rPr>
        <w:t>†</w:t>
      </w:r>
      <w:r>
        <w:rPr>
          <w:rFonts w:ascii="Times New Roman" w:hAnsi="Times New Roman" w:eastAsia="Times New Roman"/>
          <w:smallCaps/>
          <w:sz w:val="16"/>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224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Approach</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(lex)</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(sem)</w:t>
            </w:r>
          </w:p>
        </w:tc>
        <w:tc>
          <w:tcPr>
            <w:tcW w:type="dxa" w:w="1523"/>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 quotes</w:t>
            </w:r>
          </w:p>
        </w:tc>
        <w:tc>
          <w:tcPr>
            <w:tcW w:type="dxa" w:w="427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Core failure reason</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16.4%</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Multi-hop reasoning across chunks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 same runtime</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27.1%</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14.1%</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(runtime change alone moves lexical completeness)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 chain-of-thought</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62.5%</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13.9%</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Better reasoning over content in view, not retrieval</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GraphRAG (local search)</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4.2%</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14.6–18.8%</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Entity graph built for structured text, not conversation</w:t>
            </w:r>
          </w:p>
        </w:tc>
      </w:tr>
      <w:tr>
        <w:tc>
          <w:tcPr>
            <w:tcW w:type="dxa" w:w="2248"/>
            <w:tcBorders>
              <w:top w:val="nil"/>
              <w:left w:val="nil"/>
              <w:bottom w:val="single" w:sz="8" w:color="000000"/>
              <w:right w:val="nil"/>
            </w:tcBorders>
          </w:tcPr>
          <w:p>
            <w:pPr>
              <w:pStyle w:val="IEEETableText"/>
              <w:jc w:val="left"/>
            </w:pPr>
            <w:r>
              <w:rPr>
                <w:rFonts w:ascii="Times New Roman" w:hAnsi="Times New Roman" w:eastAsia="Times New Roman"/>
                <w:sz w:val="16"/>
              </w:rPr>
              <w:t>Multi-hop retrieval</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12.2%</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26.8%</w:t>
            </w:r>
          </w:p>
        </w:tc>
        <w:tc>
          <w:tcPr>
            <w:tcW w:type="dxa" w:w="1523"/>
            <w:tcBorders>
              <w:top w:val="nil"/>
              <w:left w:val="nil"/>
              <w:bottom w:val="single" w:sz="8" w:color="000000"/>
              <w:right w:val="nil"/>
            </w:tcBorders>
          </w:tcPr>
          <w:p>
            <w:pPr>
              <w:pStyle w:val="IEEETableText"/>
              <w:jc w:val="right"/>
            </w:pPr>
            <w:r>
              <w:rPr>
                <w:rFonts w:ascii="Times New Roman" w:hAnsi="Times New Roman" w:eastAsia="Times New Roman"/>
                <w:sz w:val="16"/>
              </w:rPr>
              <w:t>0 (retrieves only)</w:t>
            </w:r>
          </w:p>
        </w:tc>
        <w:tc>
          <w:tcPr>
            <w:tcW w:type="dxa" w:w="4278"/>
            <w:tcBorders>
              <w:top w:val="nil"/>
              <w:left w:val="nil"/>
              <w:bottom w:val="single" w:sz="8" w:color="000000"/>
              <w:right w:val="nil"/>
            </w:tcBorders>
          </w:tcPr>
          <w:p>
            <w:pPr>
              <w:pStyle w:val="IEEETableText"/>
              <w:jc w:val="left"/>
            </w:pPr>
            <w:r>
              <w:rPr>
                <w:rFonts w:ascii="Times New Roman" w:hAnsi="Times New Roman" w:eastAsia="Times New Roman"/>
                <w:sz w:val="16"/>
              </w:rPr>
              <w:t>Chain unknown in advance; hop 1 fails first</w:t>
            </w:r>
          </w:p>
        </w:tc>
      </w:tr>
    </w:tbl>
    <w:p>
      <w:pPr>
        <w:spacing w:before="0" w:after="120" w:line="240" w:lineRule="auto"/>
        <w:jc w:val="both"/>
      </w:pPr>
    </w:p>
    <w:p>
      <w:pPr>
        <w:sectPr>
          <w:type w:val="continuous"/>
          <w:pgSz w:w="12240" w:h="15840"/>
          <w:pgMar w:top="1080" w:right="900" w:bottom="1440" w:left="900" w:header="720" w:footer="720" w:gutter="0"/>
          <w:cols w:space="360" w:num="1"/>
          <w:docGrid w:linePitch="360"/>
        </w:sectPr>
      </w:pPr>
    </w:p>
    <w:p>
      <w:pPr>
        <w:spacing w:before="0" w:after="0" w:line="240" w:lineRule="auto"/>
        <w:ind w:firstLine="200"/>
        <w:jc w:val="both"/>
      </w:pPr>
      <w:r>
        <w:rPr>
          <w:rFonts w:ascii="Times New Roman" w:hAnsi="Times New Roman" w:eastAsia="Times New Roman"/>
          <w:sz w:val="20"/>
        </w:rPr>
        <w:t>Table VI compares EDIA with three alternatives on the gold meetings, using the same model (Mistral 7B) wherever a model is involved.</w:t>
      </w:r>
    </w:p>
    <w:p>
      <w:pPr>
        <w:spacing w:before="0" w:after="0" w:line="240" w:lineRule="auto"/>
        <w:ind w:firstLine="200"/>
        <w:jc w:val="both"/>
      </w:pPr>
      <w:r>
        <w:rPr>
          <w:rFonts w:ascii="Times New Roman" w:hAnsi="Times New Roman" w:eastAsia="Times New Roman"/>
          <w:b/>
          <w:sz w:val="20"/>
        </w:rPr>
        <w:t>Chain-of-thought.</w:t>
      </w:r>
      <w:r>
        <w:rPr>
          <w:rFonts w:ascii="Times New Roman" w:hAnsi="Times New Roman" w:eastAsia="Times New Roman"/>
          <w:sz w:val="20"/>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The effect is small, as expected if the bottleneck is locating scattered content rather than reasoning about content already in view.</w:t>
      </w:r>
    </w:p>
    <w:p>
      <w:pPr>
        <w:spacing w:before="0" w:after="0" w:line="240" w:lineRule="auto"/>
        <w:ind w:firstLine="200"/>
        <w:jc w:val="both"/>
      </w:pPr>
      <w:r>
        <w:rPr>
          <w:rFonts w:ascii="Times New Roman" w:hAnsi="Times New Roman" w:eastAsia="Times New Roman"/>
          <w:b/>
          <w:sz w:val="20"/>
        </w:rPr>
        <w:t>GraphRAG.</w:t>
      </w:r>
      <w:r>
        <w:rPr>
          <w:rFonts w:ascii="Times New Roman" w:hAnsi="Times New Roman" w:eastAsia="Times New Roman"/>
          <w:sz w:val="20"/>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spacing w:before="0" w:after="0" w:line="240" w:lineRule="auto"/>
        <w:ind w:firstLine="200"/>
        <w:jc w:val="both"/>
      </w:pPr>
      <w:r>
        <w:rPr>
          <w:rFonts w:ascii="Times New Roman" w:hAnsi="Times New Roman" w:eastAsia="Times New Roman"/>
          <w:b/>
          <w:sz w:val="20"/>
        </w:rPr>
        <w:t>Multi-hop retrieval.</w:t>
      </w:r>
      <w:r>
        <w:rPr>
          <w:rFonts w:ascii="Times New Roman" w:hAnsi="Times New Roman" w:eastAsia="Times New Roman"/>
          <w:sz w:val="20"/>
        </w:rPr>
        <w:t xml:space="preserve"> Following a three-hop chain (rationale, then alternatives conditioned on the rationale, then objections) with TF-IDF retrieval over transcript turns, and given the true decisions as input, the method recovers 12.2% (lexical) and 26.8% (semantic) of the non-decision elements. The first hop retrieves by similarity to the decision text before anything about </w:t>
      </w:r>
      <w:r>
        <w:rPr>
          <w:rFonts w:ascii="Times New Roman" w:hAnsi="Times New Roman" w:eastAsia="Times New Roman"/>
          <w:i/>
          <w:sz w:val="20"/>
        </w:rPr>
        <w:t>why</w:t>
      </w:r>
      <w:r>
        <w:rPr>
          <w:rFonts w:ascii="Times New Roman" w:hAnsi="Times New Roman" w:eastAsia="Times New Roman"/>
          <w:sz w:val="20"/>
        </w:rPr>
        <w:t xml:space="preserve"> is known, so it often returns adjacent-topic turns, and later hops compound the error.</w:t>
      </w:r>
    </w:p>
    <w:p>
      <w:pPr>
        <w:spacing w:before="0" w:after="0" w:line="240" w:lineRule="auto"/>
        <w:ind w:firstLine="200"/>
        <w:jc w:val="both"/>
      </w:pPr>
      <w:r>
        <w:rPr>
          <w:rFonts w:ascii="Times New Roman" w:hAnsi="Times New Roman" w:eastAsia="Times New Roman"/>
          <w:b/>
          <w:sz w:val="20"/>
        </w:rPr>
        <w:t>Runtime sensitivity.</w:t>
      </w:r>
      <w:r>
        <w:rPr>
          <w:rFonts w:ascii="Times New Roman" w:hAnsi="Times New Roman" w:eastAsia="Times New Roman"/>
          <w:sz w:val="20"/>
        </w:rPr>
        <w:t xml:space="preserve"> Replaying the plain extractor on a newer inference runtime, with identical weights and deterministic settings, changed lexical completeness by </w:t>
      </w:r>
      <w:r>
        <w:rPr>
          <w:rFonts w:ascii="Times New Roman" w:hAnsi="Times New Roman" w:eastAsia="Times New Roman"/>
          <w:sz w:val="20"/>
        </w:rPr>
        <w:t>−6.2</w:t>
      </w:r>
      <w:r>
        <w:rPr>
          <w:rFonts w:ascii="Times New Roman" w:hAnsi="Times New Roman" w:eastAsia="Times New Roman"/>
          <w:sz w:val="20"/>
        </w:rPr>
        <w:t xml:space="preserve"> points while leaving semantic completeness unchanged. Even within one runtime and session, repeating the LLM judge’s calls on the same 296 elements (as part of the ensemble run) returned a different confidence for 7 of them, changing 3 verdicts; we did not isolate the cause. We therefore compare every method against a baseline run on the same runtime, and we recommend that extraction studies report the inference engine version alongside the model and not treat temperature-0 decoding as bit-for-bit reproducible.</w:t>
      </w:r>
    </w:p>
    <w:p>
      <w:pPr>
        <w:keepNext/>
        <w:spacing w:before="200" w:after="80" w:line="240" w:lineRule="auto"/>
        <w:jc w:val="center"/>
      </w:pPr>
      <w:r>
        <w:rPr>
          <w:rFonts w:ascii="Times New Roman" w:hAnsi="Times New Roman" w:eastAsia="Times New Roman"/>
          <w:smallCaps/>
          <w:sz w:val="20"/>
        </w:rPr>
        <w:t xml:space="preserve">VIII. </w:t>
      </w:r>
      <w:r>
        <w:rPr>
          <w:rFonts w:ascii="Times New Roman" w:hAnsi="Times New Roman" w:eastAsia="Times New Roman"/>
          <w:smallCaps/>
          <w:sz w:val="20"/>
        </w:rPr>
        <w:t>Discussion</w:t>
      </w:r>
    </w:p>
    <w:p>
      <w:pPr>
        <w:spacing w:before="0" w:after="0" w:line="240" w:lineRule="auto"/>
        <w:ind w:firstLine="200"/>
        <w:jc w:val="both"/>
      </w:pPr>
      <w:r>
        <w:rPr>
          <w:rFonts w:ascii="Times New Roman" w:hAnsi="Times New Roman" w:eastAsia="Times New Roman"/>
          <w:b/>
          <w:sz w:val="20"/>
        </w:rPr>
        <w:t>What would break the ceiling.</w:t>
      </w:r>
      <w:r>
        <w:rPr>
          <w:rFonts w:ascii="Times New Roman" w:hAnsi="Times New Roman" w:eastAsia="Times New Roman"/>
          <w:sz w:val="20"/>
        </w:rPr>
        <w:t xml:space="preserve"> The dominant misses are reasoning that is scattered or implicit. Neither longer context (no chunk-boundary misses) nor better answer-time reasoning (small CoT gain)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spacing w:before="0" w:after="0" w:line="240" w:lineRule="auto"/>
        <w:ind w:firstLine="200"/>
        <w:jc w:val="both"/>
      </w:pPr>
      <w:r>
        <w:rPr>
          <w:rFonts w:ascii="Times New Roman" w:hAnsi="Times New Roman" w:eastAsia="Times New Roman"/>
          <w:b/>
          <w:sz w:val="20"/>
        </w:rPr>
        <w:t>Limitations.</w:t>
      </w:r>
      <w:r>
        <w:rPr>
          <w:rFonts w:ascii="Times New Roman" w:hAnsi="Times New Roman" w:eastAsia="Times New Roman"/>
          <w:sz w:val="20"/>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 </w:t>
      </w:r>
      <w:r>
        <w:rPr>
          <w:rFonts w:ascii="Times New Roman" w:hAnsi="Times New Roman" w:eastAsia="Times New Roman"/>
          <w:color w:val="C00000"/>
          <w:sz w:val="20"/>
        </w:rPr>
        <w:t xml:space="preserve">[TODO: </w:t>
      </w:r>
      <w:r>
        <w:rPr>
          <w:rFonts w:ascii="Times New Roman" w:hAnsi="Times New Roman" w:eastAsia="Times New Roman"/>
          <w:color w:val="C00000"/>
          <w:sz w:val="20"/>
        </w:rPr>
        <w:t>If applicable: cite the domain expert’s confirmation that multi-hop reasoning over meeting content is an open problem (e.g. as personal communication), or remove.</w:t>
      </w:r>
      <w:r>
        <w:rPr>
          <w:rFonts w:ascii="Times New Roman" w:hAnsi="Times New Roman" w:eastAsia="Times New Roman"/>
          <w:color w:val="C00000"/>
          <w:sz w:val="20"/>
        </w:rPr>
        <w:t>]</w:t>
      </w:r>
    </w:p>
    <w:p>
      <w:pPr>
        <w:spacing w:before="0" w:after="0" w:line="240" w:lineRule="auto"/>
        <w:ind w:firstLine="200"/>
        <w:jc w:val="both"/>
      </w:pPr>
      <w:r>
        <w:rPr>
          <w:rFonts w:ascii="Times New Roman" w:hAnsi="Times New Roman" w:eastAsia="Times New Roman"/>
          <w:b/>
          <w:sz w:val="20"/>
        </w:rPr>
        <w:t>Reporting practice.</w:t>
      </w:r>
      <w:r>
        <w:rPr>
          <w:rFonts w:ascii="Times New Roman" w:hAnsi="Times New Roman" w:eastAsia="Times New Roman"/>
          <w:sz w:val="20"/>
        </w:rPr>
        <w:t xml:space="preserve"> Two practices changed our conclusions and we recommend them generally: reporting balanced accuracy and present-class F1 alongside gap F1 when the gap rate is high, and reporting both lexical and semantic completeness.</w:t>
      </w:r>
    </w:p>
    <w:p>
      <w:pPr>
        <w:keepNext/>
        <w:spacing w:before="200" w:after="80" w:line="240" w:lineRule="auto"/>
        <w:jc w:val="center"/>
      </w:pPr>
      <w:r>
        <w:rPr>
          <w:rFonts w:ascii="Times New Roman" w:hAnsi="Times New Roman" w:eastAsia="Times New Roman"/>
          <w:smallCaps/>
          <w:sz w:val="20"/>
        </w:rPr>
        <w:t xml:space="preserve">IX. </w:t>
      </w:r>
      <w:r>
        <w:rPr>
          <w:rFonts w:ascii="Times New Roman" w:hAnsi="Times New Roman" w:eastAsia="Times New Roman"/>
          <w:smallCaps/>
          <w:sz w:val="20"/>
        </w:rPr>
        <w:t>Conclusion</w:t>
      </w:r>
    </w:p>
    <w:p>
      <w:pPr>
        <w:spacing w:before="0" w:after="0" w:line="240" w:lineRule="auto"/>
        <w:ind w:firstLine="200"/>
        <w:jc w:val="both"/>
      </w:pPr>
      <w:r>
        <w:rPr>
          <w:rFonts w:ascii="Times New Roman" w:hAnsi="Times New Roman" w:eastAsia="Times New Roman"/>
          <w:sz w:val="20"/>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keepNext/>
        <w:spacing w:before="200" w:after="80" w:line="240" w:lineRule="auto"/>
        <w:jc w:val="center"/>
      </w:pPr>
      <w:r>
        <w:rPr>
          <w:rFonts w:ascii="Times New Roman" w:hAnsi="Times New Roman" w:eastAsia="Times New Roman"/>
          <w:smallCaps/>
          <w:sz w:val="20"/>
        </w:rPr>
        <w:t>Acknowledgment</w:t>
      </w:r>
    </w:p>
    <w:p>
      <w:pPr>
        <w:spacing w:before="0" w:after="0" w:line="240" w:lineRule="auto"/>
        <w:ind w:firstLine="200"/>
        <w:jc w:val="both"/>
      </w:pPr>
      <w:r>
        <w:rPr>
          <w:rFonts w:ascii="Times New Roman" w:hAnsi="Times New Roman" w:eastAsia="Times New Roman"/>
          <w:color w:val="C00000"/>
          <w:sz w:val="20"/>
        </w:rPr>
        <w:t xml:space="preserve">[TODO: </w:t>
      </w:r>
      <w:r>
        <w:rPr>
          <w:rFonts w:ascii="Times New Roman" w:hAnsi="Times New Roman" w:eastAsia="Times New Roman"/>
          <w:color w:val="C00000"/>
          <w:sz w:val="20"/>
        </w:rPr>
        <w:t>Acknowledge supervisors, the domain expert, and compute resources, or remove.</w:t>
      </w:r>
      <w:r>
        <w:rPr>
          <w:rFonts w:ascii="Times New Roman" w:hAnsi="Times New Roman" w:eastAsia="Times New Roman"/>
          <w:color w:val="C00000"/>
          <w:sz w:val="20"/>
        </w:rPr>
        <w:t>]</w:t>
      </w:r>
    </w:p>
    <w:p>
      <w:pPr>
        <w:keepNext/>
        <w:spacing w:before="200" w:after="80" w:line="240" w:lineRule="auto"/>
        <w:jc w:val="center"/>
      </w:pPr>
      <w:r>
        <w:rPr>
          <w:rFonts w:ascii="Times New Roman" w:hAnsi="Times New Roman" w:eastAsia="Times New Roman"/>
          <w:smallCaps/>
          <w:sz w:val="20"/>
        </w:rPr>
        <w:t>References</w:t>
      </w:r>
    </w:p>
    <w:p>
      <w:pPr>
        <w:tabs>
          <w:tab w:pos="432" w:val="left"/>
        </w:tabs>
        <w:spacing w:before="0" w:after="0" w:line="240" w:lineRule="auto"/>
        <w:ind w:left="432" w:hanging="432"/>
        <w:jc w:val="both"/>
      </w:pPr>
      <w:r>
        <w:rPr>
          <w:rFonts w:ascii="Times New Roman" w:hAnsi="Times New Roman" w:eastAsia="Times New Roman"/>
          <w:sz w:val="16"/>
        </w:rPr>
        <w:t>[1]</w:t>
        <w:tab/>
      </w:r>
      <w:r>
        <w:rPr>
          <w:rFonts w:ascii="Times New Roman" w:hAnsi="Times New Roman" w:eastAsia="Times New Roman"/>
          <w:sz w:val="16"/>
        </w:rPr>
        <w:t xml:space="preserve">M. Zhong et al., “QMSum: A New Benchmark for Query-based Multi-domain Meeting Summarization,”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2021, pp. 5905–5921.</w:t>
      </w:r>
    </w:p>
    <w:p>
      <w:pPr>
        <w:tabs>
          <w:tab w:pos="432" w:val="left"/>
        </w:tabs>
        <w:spacing w:before="0" w:after="0" w:line="240" w:lineRule="auto"/>
        <w:ind w:left="432" w:hanging="432"/>
        <w:jc w:val="both"/>
      </w:pPr>
      <w:r>
        <w:rPr>
          <w:rFonts w:ascii="Times New Roman" w:hAnsi="Times New Roman" w:eastAsia="Times New Roman"/>
          <w:sz w:val="16"/>
        </w:rPr>
        <w:t>[2]</w:t>
        <w:tab/>
      </w:r>
      <w:r>
        <w:rPr>
          <w:rFonts w:ascii="Times New Roman" w:hAnsi="Times New Roman" w:eastAsia="Times New Roman"/>
          <w:sz w:val="16"/>
        </w:rPr>
        <w:t xml:space="preserve">A. Janin et al., “The ICSI Meeting Corpus,” </w:t>
      </w:r>
      <w:r>
        <w:rPr>
          <w:rFonts w:ascii="Times New Roman" w:hAnsi="Times New Roman" w:eastAsia="Times New Roman"/>
          <w:sz w:val="16"/>
        </w:rPr>
        <w:t xml:space="preserve">in </w:t>
      </w:r>
      <w:r>
        <w:rPr>
          <w:rFonts w:ascii="Times New Roman" w:hAnsi="Times New Roman" w:eastAsia="Times New Roman"/>
          <w:i/>
          <w:sz w:val="16"/>
        </w:rPr>
        <w:t>Proc. IEEE Int. Conf. Acoustics, Speech, and Signal Processing (ICASSP)</w:t>
      </w:r>
      <w:r>
        <w:rPr>
          <w:rFonts w:ascii="Times New Roman" w:hAnsi="Times New Roman" w:eastAsia="Times New Roman"/>
          <w:sz w:val="16"/>
        </w:rPr>
        <w:t>, 2003.</w:t>
      </w:r>
    </w:p>
    <w:p>
      <w:pPr>
        <w:tabs>
          <w:tab w:pos="432" w:val="left"/>
        </w:tabs>
        <w:spacing w:before="0" w:after="0" w:line="240" w:lineRule="auto"/>
        <w:ind w:left="432" w:hanging="432"/>
        <w:jc w:val="both"/>
      </w:pPr>
      <w:r>
        <w:rPr>
          <w:rFonts w:ascii="Times New Roman" w:hAnsi="Times New Roman" w:eastAsia="Times New Roman"/>
          <w:sz w:val="16"/>
        </w:rPr>
        <w:t>[3]</w:t>
        <w:tab/>
      </w:r>
      <w:r>
        <w:rPr>
          <w:rFonts w:ascii="Times New Roman" w:hAnsi="Times New Roman" w:eastAsia="Times New Roman"/>
          <w:sz w:val="16"/>
        </w:rPr>
        <w:t xml:space="preserve">J. Carletta et al., “The AMI Meeting Corpus: A Pre-announcement,” </w:t>
      </w:r>
      <w:r>
        <w:rPr>
          <w:rFonts w:ascii="Times New Roman" w:hAnsi="Times New Roman" w:eastAsia="Times New Roman"/>
          <w:sz w:val="16"/>
        </w:rPr>
        <w:t xml:space="preserve">in </w:t>
      </w:r>
      <w:r>
        <w:rPr>
          <w:rFonts w:ascii="Times New Roman" w:hAnsi="Times New Roman" w:eastAsia="Times New Roman"/>
          <w:i/>
          <w:sz w:val="16"/>
        </w:rPr>
        <w:t>Machine Learning for Multimodal Interaction (MLMI), LNCS vol. 3869</w:t>
      </w:r>
      <w:r>
        <w:rPr>
          <w:rFonts w:ascii="Times New Roman" w:hAnsi="Times New Roman" w:eastAsia="Times New Roman"/>
          <w:sz w:val="16"/>
        </w:rPr>
        <w:t>, Springer</w:t>
      </w:r>
      <w:r>
        <w:rPr>
          <w:rFonts w:ascii="Times New Roman" w:hAnsi="Times New Roman" w:eastAsia="Times New Roman"/>
          <w:sz w:val="16"/>
        </w:rPr>
        <w:t>, 2006, pp. 28–39.</w:t>
      </w:r>
    </w:p>
    <w:p>
      <w:pPr>
        <w:tabs>
          <w:tab w:pos="432" w:val="left"/>
        </w:tabs>
        <w:spacing w:before="0" w:after="0" w:line="240" w:lineRule="auto"/>
        <w:ind w:left="432" w:hanging="432"/>
        <w:jc w:val="both"/>
      </w:pPr>
      <w:r>
        <w:rPr>
          <w:rFonts w:ascii="Times New Roman" w:hAnsi="Times New Roman" w:eastAsia="Times New Roman"/>
          <w:sz w:val="16"/>
        </w:rPr>
        <w:t>[4]</w:t>
        <w:tab/>
      </w:r>
      <w:r>
        <w:rPr>
          <w:rFonts w:ascii="Times New Roman" w:hAnsi="Times New Roman" w:eastAsia="Times New Roman"/>
          <w:sz w:val="16"/>
        </w:rPr>
        <w:t xml:space="preserve">A. Williams, N. Nangia, and S. R. Bowman, “A Broad-Coverage Challenge Corpus for Sentence Understanding through Inference,”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[5]</w:t>
        <w:tab/>
      </w:r>
      <w:r>
        <w:rPr>
          <w:rFonts w:ascii="Times New Roman" w:hAnsi="Times New Roman" w:eastAsia="Times New Roman"/>
          <w:sz w:val="16"/>
        </w:rPr>
        <w:t xml:space="preserve">Y. Liu et al., “RoBERTa: A Robustly Optimized BERT Pretraining Approach,” </w:t>
      </w:r>
      <w:r>
        <w:rPr>
          <w:rFonts w:ascii="Times New Roman" w:hAnsi="Times New Roman" w:eastAsia="Times New Roman"/>
          <w:i/>
          <w:sz w:val="16"/>
        </w:rPr>
        <w:t>arXiv preprint arXiv:1907.11692</w:t>
      </w:r>
      <w:r>
        <w:rPr>
          <w:rFonts w:ascii="Times New Roman" w:hAnsi="Times New Roman" w:eastAsia="Times New Roman"/>
          <w:sz w:val="16"/>
        </w:rPr>
        <w:t>, 2019.</w:t>
      </w:r>
    </w:p>
    <w:p>
      <w:pPr>
        <w:tabs>
          <w:tab w:pos="432" w:val="left"/>
        </w:tabs>
        <w:spacing w:before="0" w:after="0" w:line="240" w:lineRule="auto"/>
        <w:ind w:left="432" w:hanging="432"/>
        <w:jc w:val="both"/>
      </w:pPr>
      <w:r>
        <w:rPr>
          <w:rFonts w:ascii="Times New Roman" w:hAnsi="Times New Roman" w:eastAsia="Times New Roman"/>
          <w:sz w:val="16"/>
        </w:rPr>
        <w:t>[6]</w:t>
        <w:tab/>
      </w:r>
      <w:r>
        <w:rPr>
          <w:rFonts w:ascii="Times New Roman" w:hAnsi="Times New Roman" w:eastAsia="Times New Roman"/>
          <w:sz w:val="16"/>
        </w:rPr>
        <w:t xml:space="preserve">P. Laban, T. Schnabel, P. N. Bennett, and M. A. Hearst, “SummaC: Re-Visiting NLI-based Models for Inconsistency Detection in Summarization,” </w:t>
      </w:r>
      <w:r>
        <w:rPr>
          <w:rFonts w:ascii="Times New Roman" w:hAnsi="Times New Roman" w:eastAsia="Times New Roman"/>
          <w:i/>
          <w:sz w:val="16"/>
        </w:rPr>
        <w:t>Transactions of the Association for Computational Linguistics</w:t>
      </w:r>
      <w:r>
        <w:rPr>
          <w:rFonts w:ascii="Times New Roman" w:hAnsi="Times New Roman" w:eastAsia="Times New Roman"/>
          <w:sz w:val="16"/>
        </w:rPr>
        <w:t>, vol. 10, pp. 163–177, 2022.</w:t>
      </w:r>
    </w:p>
    <w:p>
      <w:pPr>
        <w:tabs>
          <w:tab w:pos="432" w:val="left"/>
        </w:tabs>
        <w:spacing w:before="0" w:after="0" w:line="240" w:lineRule="auto"/>
        <w:ind w:left="432" w:hanging="432"/>
        <w:jc w:val="both"/>
      </w:pPr>
      <w:r>
        <w:rPr>
          <w:rFonts w:ascii="Times New Roman" w:hAnsi="Times New Roman" w:eastAsia="Times New Roman"/>
          <w:sz w:val="16"/>
        </w:rPr>
        <w:t>[7]</w:t>
        <w:tab/>
      </w:r>
      <w:r>
        <w:rPr>
          <w:rFonts w:ascii="Times New Roman" w:hAnsi="Times New Roman" w:eastAsia="Times New Roman"/>
          <w:sz w:val="16"/>
        </w:rPr>
        <w:t xml:space="preserve">W. Kryściński, B. McCann, C. Xiong, and R. Socher, “Evaluating the Factual Consistency of Abstractive Text Summarization,”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[8]</w:t>
        <w:tab/>
      </w:r>
      <w:r>
        <w:rPr>
          <w:rFonts w:ascii="Times New Roman" w:hAnsi="Times New Roman" w:eastAsia="Times New Roman"/>
          <w:sz w:val="16"/>
        </w:rPr>
        <w:t xml:space="preserve">L. Zheng et al., “Judging LLM-as-a-Judge with MT-Bench and Chatbot Arena,”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 Datasets and Benchmarks Track</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[9]</w:t>
        <w:tab/>
      </w:r>
      <w:r>
        <w:rPr>
          <w:rFonts w:ascii="Times New Roman" w:hAnsi="Times New Roman" w:eastAsia="Times New Roman"/>
          <w:sz w:val="16"/>
        </w:rPr>
        <w:t xml:space="preserve">P. Lewis et al., “Retrieval-Augmented Generation for Knowledge-Intensive NLP Tasks,”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[10]</w:t>
        <w:tab/>
      </w:r>
      <w:r>
        <w:rPr>
          <w:rFonts w:ascii="Times New Roman" w:hAnsi="Times New Roman" w:eastAsia="Times New Roman"/>
          <w:sz w:val="16"/>
        </w:rPr>
        <w:t xml:space="preserve">Z. Yang et al., “HotpotQA: A Dataset for Diverse, Explainable Multi-hop Question Answering,”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[11]</w:t>
        <w:tab/>
      </w:r>
      <w:r>
        <w:rPr>
          <w:rFonts w:ascii="Times New Roman" w:hAnsi="Times New Roman" w:eastAsia="Times New Roman"/>
          <w:sz w:val="16"/>
        </w:rPr>
        <w:t xml:space="preserve">D. Edge et al., “From Local to Global: A Graph RAG Approach to Query-Focused Summarization,” </w:t>
      </w:r>
      <w:r>
        <w:rPr>
          <w:rFonts w:ascii="Times New Roman" w:hAnsi="Times New Roman" w:eastAsia="Times New Roman"/>
          <w:i/>
          <w:sz w:val="16"/>
        </w:rPr>
        <w:t>arXiv preprint arXiv:2404.16130</w:t>
      </w:r>
      <w:r>
        <w:rPr>
          <w:rFonts w:ascii="Times New Roman" w:hAnsi="Times New Roman" w:eastAsia="Times New Roman"/>
          <w:sz w:val="16"/>
        </w:rPr>
        <w:t>, 2024.</w:t>
      </w:r>
    </w:p>
    <w:p>
      <w:pPr>
        <w:tabs>
          <w:tab w:pos="432" w:val="left"/>
        </w:tabs>
        <w:spacing w:before="0" w:after="0" w:line="240" w:lineRule="auto"/>
        <w:ind w:left="432" w:hanging="432"/>
        <w:jc w:val="both"/>
      </w:pPr>
      <w:r>
        <w:rPr>
          <w:rFonts w:ascii="Times New Roman" w:hAnsi="Times New Roman" w:eastAsia="Times New Roman"/>
          <w:sz w:val="16"/>
        </w:rPr>
        <w:t>[12]</w:t>
        <w:tab/>
      </w:r>
      <w:r>
        <w:rPr>
          <w:rFonts w:ascii="Times New Roman" w:hAnsi="Times New Roman" w:eastAsia="Times New Roman"/>
          <w:sz w:val="16"/>
        </w:rPr>
        <w:t xml:space="preserve">J. Wei et al., “Chain-of-Thought Prompting Elicits Reasoning in Large Language Models,”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2022.</w:t>
      </w:r>
    </w:p>
    <w:p>
      <w:pPr>
        <w:tabs>
          <w:tab w:pos="432" w:val="left"/>
        </w:tabs>
        <w:spacing w:before="0" w:after="0" w:line="240" w:lineRule="auto"/>
        <w:ind w:left="432" w:hanging="432"/>
        <w:jc w:val="both"/>
      </w:pPr>
      <w:r>
        <w:rPr>
          <w:rFonts w:ascii="Times New Roman" w:hAnsi="Times New Roman" w:eastAsia="Times New Roman"/>
          <w:sz w:val="16"/>
        </w:rPr>
        <w:t>[13]</w:t>
        <w:tab/>
      </w:r>
      <w:r>
        <w:rPr>
          <w:rFonts w:ascii="Times New Roman" w:hAnsi="Times New Roman" w:eastAsia="Times New Roman"/>
          <w:sz w:val="16"/>
        </w:rPr>
        <w:t xml:space="preserve">A. Q. Jiang et al., “Mistral 7B,” </w:t>
      </w:r>
      <w:r>
        <w:rPr>
          <w:rFonts w:ascii="Times New Roman" w:hAnsi="Times New Roman" w:eastAsia="Times New Roman"/>
          <w:i/>
          <w:sz w:val="16"/>
        </w:rPr>
        <w:t>arXiv preprint arXiv:2310.06825</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[14]</w:t>
        <w:tab/>
      </w:r>
      <w:r>
        <w:rPr>
          <w:rFonts w:ascii="Times New Roman" w:hAnsi="Times New Roman" w:eastAsia="Times New Roman"/>
          <w:sz w:val="16"/>
        </w:rPr>
        <w:t xml:space="preserve">N. Reimers and I. Gurevych, “Sentence-BERT: Sentence Embeddings using Siamese BERT-Networks,”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(EMNLP-IJCNLP)</w:t>
      </w:r>
      <w:r>
        <w:rPr>
          <w:rFonts w:ascii="Times New Roman" w:hAnsi="Times New Roman" w:eastAsia="Times New Roman"/>
          <w:sz w:val="16"/>
        </w:rPr>
        <w:t>, 2019.</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ableText">
    <w:name w:val="IEEE Table Text"/>
    <w:basedOn w:val="Normal"/>
    <w:pPr>
      <w:spacing w:before="20" w:after="20"/>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