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sz w:val="48"/>
        </w:rPr>
        <w:t>Where Meeting Reasoning Gets Lost: A Feasibility Study of Decision-Context Gap Detection in Enterprise Meetings</w:t>
      </w:r>
    </w:p>
    <w:tbl>
      <w:tblPr>
        <w:tblW w:type="auto" w:w="0"/>
        <w:tblBorders>
          <w:top w:val="nil"/>
          <w:left w:val="nil"/>
          <w:bottom w:val="nil"/>
          <w:right w:val="nil"/>
          <w:insideH w:val="nil"/>
          <w:insideV w:val="nil"/>
        </w:tblBorders>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eastAsia="Times New Roman"/>
                <w:sz w:val="22"/>
              </w:rPr>
              <w:t>Jaitra Shah</w:t>
            </w:r>
          </w:p>
          <w:p>
            <w:pPr>
              <w:jc w:val="center"/>
            </w:pPr>
            <w:r>
              <w:rPr>
                <w:rFonts w:ascii="Times New Roman" w:hAnsi="Times New Roman" w:eastAsia="Times New Roman"/>
                <w:i/>
                <w:sz w:val="20"/>
              </w:rPr>
              <w:t>Dept. of Computer Science</w:t>
            </w:r>
          </w:p>
          <w:p>
            <w:pPr>
              <w:jc w:val="center"/>
            </w:pPr>
            <w:r>
              <w:rPr>
                <w:rFonts w:ascii="Times New Roman" w:hAnsi="Times New Roman" w:eastAsia="Times New Roman"/>
                <w:i/>
                <w:sz w:val="20"/>
              </w:rPr>
              <w:t>and Business Systems</w:t>
            </w:r>
          </w:p>
          <w:p>
            <w:pPr>
              <w:jc w:val="center"/>
            </w:pPr>
            <w:r>
              <w:rPr>
                <w:rFonts w:ascii="Times New Roman" w:hAnsi="Times New Roman" w:eastAsia="Times New Roman"/>
                <w:i/>
                <w:sz w:val="20"/>
              </w:rPr>
              <w:t>Mukesh Patel School of</w:t>
            </w:r>
          </w:p>
          <w:p>
            <w:pPr>
              <w:jc w:val="center"/>
            </w:pPr>
            <w:r>
              <w:rPr>
                <w:rFonts w:ascii="Times New Roman" w:hAnsi="Times New Roman" w:eastAsia="Times New Roman"/>
                <w:i/>
                <w:sz w:val="20"/>
              </w:rPr>
              <w:t>Technology Management</w:t>
            </w:r>
          </w:p>
          <w:p>
            <w:pPr>
              <w:jc w:val="center"/>
            </w:pPr>
            <w:r>
              <w:rPr>
                <w:rFonts w:ascii="Times New Roman" w:hAnsi="Times New Roman" w:eastAsia="Times New Roman"/>
                <w:i/>
                <w:sz w:val="20"/>
              </w:rPr>
              <w:t>and Engineering, NMIMS</w:t>
            </w:r>
          </w:p>
          <w:p>
            <w:pPr>
              <w:jc w:val="center"/>
            </w:pPr>
            <w:r>
              <w:rPr>
                <w:rFonts w:ascii="Times New Roman" w:hAnsi="Times New Roman" w:eastAsia="Times New Roman"/>
                <w:i/>
                <w:sz w:val="20"/>
              </w:rPr>
              <w:t>Mumbai, India</w:t>
            </w:r>
          </w:p>
          <w:p>
            <w:pPr>
              <w:jc w:val="center"/>
            </w:pPr>
            <w:r>
              <w:rPr>
                <w:rFonts w:ascii="Times New Roman" w:hAnsi="Times New Roman" w:eastAsia="Times New Roman"/>
                <w:i/>
                <w:color w:val="C00000"/>
                <w:sz w:val="20"/>
              </w:rPr>
              <w:t xml:space="preserve">[TODO: </w:t>
            </w:r>
            <w:r>
              <w:rPr>
                <w:rFonts w:ascii="Times New Roman" w:hAnsi="Times New Roman" w:eastAsia="Times New Roman"/>
                <w:i/>
                <w:color w:val="C00000"/>
                <w:sz w:val="20"/>
              </w:rPr>
              <w:t>email</w:t>
            </w:r>
            <w:r>
              <w:rPr>
                <w:rFonts w:ascii="Times New Roman" w:hAnsi="Times New Roman" w:eastAsia="Times New Roman"/>
                <w:i/>
                <w:color w:val="C00000"/>
                <w:sz w:val="20"/>
              </w:rPr>
              <w:t>]</w:t>
            </w:r>
          </w:p>
        </w:tc>
        <w:tc>
          <w:tcPr>
            <w:tcW w:type="dxa" w:w="2610"/>
          </w:tcPr>
          <w:p>
            <w:pPr>
              <w:jc w:val="center"/>
            </w:pPr>
            <w:r>
              <w:rPr>
                <w:rFonts w:ascii="Times New Roman" w:hAnsi="Times New Roman" w:eastAsia="Times New Roman"/>
                <w:sz w:val="22"/>
              </w:rPr>
              <w:t>Manan Mehta</w:t>
            </w:r>
          </w:p>
          <w:p>
            <w:pPr>
              <w:jc w:val="center"/>
            </w:pPr>
            <w:r>
              <w:rPr>
                <w:rFonts w:ascii="Times New Roman" w:hAnsi="Times New Roman" w:eastAsia="Times New Roman"/>
                <w:i/>
                <w:sz w:val="20"/>
              </w:rPr>
              <w:t>Dept. of Computer Science</w:t>
            </w:r>
          </w:p>
          <w:p>
            <w:pPr>
              <w:jc w:val="center"/>
            </w:pPr>
            <w:r>
              <w:rPr>
                <w:rFonts w:ascii="Times New Roman" w:hAnsi="Times New Roman" w:eastAsia="Times New Roman"/>
                <w:i/>
                <w:sz w:val="20"/>
              </w:rPr>
              <w:t>and Business Systems</w:t>
            </w:r>
          </w:p>
          <w:p>
            <w:pPr>
              <w:jc w:val="center"/>
            </w:pPr>
            <w:r>
              <w:rPr>
                <w:rFonts w:ascii="Times New Roman" w:hAnsi="Times New Roman" w:eastAsia="Times New Roman"/>
                <w:i/>
                <w:sz w:val="20"/>
              </w:rPr>
              <w:t>Mukesh Patel School of</w:t>
            </w:r>
          </w:p>
          <w:p>
            <w:pPr>
              <w:jc w:val="center"/>
            </w:pPr>
            <w:r>
              <w:rPr>
                <w:rFonts w:ascii="Times New Roman" w:hAnsi="Times New Roman" w:eastAsia="Times New Roman"/>
                <w:i/>
                <w:sz w:val="20"/>
              </w:rPr>
              <w:t>Technology Management</w:t>
            </w:r>
          </w:p>
          <w:p>
            <w:pPr>
              <w:jc w:val="center"/>
            </w:pPr>
            <w:r>
              <w:rPr>
                <w:rFonts w:ascii="Times New Roman" w:hAnsi="Times New Roman" w:eastAsia="Times New Roman"/>
                <w:i/>
                <w:sz w:val="20"/>
              </w:rPr>
              <w:t>and Engineering, NMIMS</w:t>
            </w:r>
          </w:p>
          <w:p>
            <w:pPr>
              <w:jc w:val="center"/>
            </w:pPr>
            <w:r>
              <w:rPr>
                <w:rFonts w:ascii="Times New Roman" w:hAnsi="Times New Roman" w:eastAsia="Times New Roman"/>
                <w:i/>
                <w:sz w:val="20"/>
              </w:rPr>
              <w:t>Mumbai, India</w:t>
            </w:r>
          </w:p>
          <w:p>
            <w:pPr>
              <w:jc w:val="center"/>
            </w:pPr>
            <w:r>
              <w:rPr>
                <w:rFonts w:ascii="Times New Roman" w:hAnsi="Times New Roman" w:eastAsia="Times New Roman"/>
                <w:i/>
                <w:color w:val="C00000"/>
                <w:sz w:val="20"/>
              </w:rPr>
              <w:t xml:space="preserve">[TODO: </w:t>
            </w:r>
            <w:r>
              <w:rPr>
                <w:rFonts w:ascii="Times New Roman" w:hAnsi="Times New Roman" w:eastAsia="Times New Roman"/>
                <w:i/>
                <w:color w:val="C00000"/>
                <w:sz w:val="20"/>
              </w:rPr>
              <w:t>email</w:t>
            </w:r>
            <w:r>
              <w:rPr>
                <w:rFonts w:ascii="Times New Roman" w:hAnsi="Times New Roman" w:eastAsia="Times New Roman"/>
                <w:i/>
                <w:color w:val="C00000"/>
                <w:sz w:val="20"/>
              </w:rPr>
              <w:t>]</w:t>
            </w:r>
          </w:p>
        </w:tc>
        <w:tc>
          <w:tcPr>
            <w:tcW w:type="dxa" w:w="2610"/>
          </w:tcPr>
          <w:p>
            <w:pPr>
              <w:jc w:val="center"/>
            </w:pPr>
            <w:r>
              <w:rPr>
                <w:rFonts w:ascii="Times New Roman" w:hAnsi="Times New Roman" w:eastAsia="Times New Roman"/>
                <w:sz w:val="22"/>
              </w:rPr>
              <w:t>Soham Dwivedi</w:t>
            </w:r>
          </w:p>
          <w:p>
            <w:pPr>
              <w:jc w:val="center"/>
            </w:pPr>
            <w:r>
              <w:rPr>
                <w:rFonts w:ascii="Times New Roman" w:hAnsi="Times New Roman" w:eastAsia="Times New Roman"/>
                <w:i/>
                <w:sz w:val="20"/>
              </w:rPr>
              <w:t>Dept. of Computer Science</w:t>
            </w:r>
          </w:p>
          <w:p>
            <w:pPr>
              <w:jc w:val="center"/>
            </w:pPr>
            <w:r>
              <w:rPr>
                <w:rFonts w:ascii="Times New Roman" w:hAnsi="Times New Roman" w:eastAsia="Times New Roman"/>
                <w:i/>
                <w:sz w:val="20"/>
              </w:rPr>
              <w:t>and Business Systems</w:t>
            </w:r>
          </w:p>
          <w:p>
            <w:pPr>
              <w:jc w:val="center"/>
            </w:pPr>
            <w:r>
              <w:rPr>
                <w:rFonts w:ascii="Times New Roman" w:hAnsi="Times New Roman" w:eastAsia="Times New Roman"/>
                <w:i/>
                <w:sz w:val="20"/>
              </w:rPr>
              <w:t>Mukesh Patel School of</w:t>
            </w:r>
          </w:p>
          <w:p>
            <w:pPr>
              <w:jc w:val="center"/>
            </w:pPr>
            <w:r>
              <w:rPr>
                <w:rFonts w:ascii="Times New Roman" w:hAnsi="Times New Roman" w:eastAsia="Times New Roman"/>
                <w:i/>
                <w:sz w:val="20"/>
              </w:rPr>
              <w:t>Technology Management</w:t>
            </w:r>
          </w:p>
          <w:p>
            <w:pPr>
              <w:jc w:val="center"/>
            </w:pPr>
            <w:r>
              <w:rPr>
                <w:rFonts w:ascii="Times New Roman" w:hAnsi="Times New Roman" w:eastAsia="Times New Roman"/>
                <w:i/>
                <w:sz w:val="20"/>
              </w:rPr>
              <w:t>and Engineering, NMIMS</w:t>
            </w:r>
          </w:p>
          <w:p>
            <w:pPr>
              <w:jc w:val="center"/>
            </w:pPr>
            <w:r>
              <w:rPr>
                <w:rFonts w:ascii="Times New Roman" w:hAnsi="Times New Roman" w:eastAsia="Times New Roman"/>
                <w:i/>
                <w:sz w:val="20"/>
              </w:rPr>
              <w:t>Mumbai, India</w:t>
            </w:r>
          </w:p>
          <w:p>
            <w:pPr>
              <w:jc w:val="center"/>
            </w:pPr>
            <w:r>
              <w:rPr>
                <w:rFonts w:ascii="Times New Roman" w:hAnsi="Times New Roman" w:eastAsia="Times New Roman"/>
                <w:i/>
                <w:color w:val="C00000"/>
                <w:sz w:val="20"/>
              </w:rPr>
              <w:t xml:space="preserve">[TODO: </w:t>
            </w:r>
            <w:r>
              <w:rPr>
                <w:rFonts w:ascii="Times New Roman" w:hAnsi="Times New Roman" w:eastAsia="Times New Roman"/>
                <w:i/>
                <w:color w:val="C00000"/>
                <w:sz w:val="20"/>
              </w:rPr>
              <w:t>email</w:t>
            </w:r>
            <w:r>
              <w:rPr>
                <w:rFonts w:ascii="Times New Roman" w:hAnsi="Times New Roman" w:eastAsia="Times New Roman"/>
                <w:i/>
                <w:color w:val="C00000"/>
                <w:sz w:val="20"/>
              </w:rPr>
              <w:t>]</w:t>
            </w:r>
          </w:p>
        </w:tc>
        <w:tc>
          <w:tcPr>
            <w:tcW w:type="dxa" w:w="2610"/>
          </w:tcPr>
          <w:p>
            <w:pPr>
              <w:jc w:val="center"/>
            </w:pPr>
            <w:r>
              <w:rPr>
                <w:rFonts w:ascii="Times New Roman" w:hAnsi="Times New Roman" w:eastAsia="Times New Roman"/>
                <w:sz w:val="22"/>
              </w:rPr>
              <w:t>Aayusman Pati</w:t>
            </w:r>
          </w:p>
          <w:p>
            <w:pPr>
              <w:jc w:val="center"/>
            </w:pPr>
            <w:r>
              <w:rPr>
                <w:rFonts w:ascii="Times New Roman" w:hAnsi="Times New Roman" w:eastAsia="Times New Roman"/>
                <w:i/>
                <w:sz w:val="20"/>
              </w:rPr>
              <w:t>Dept. of Computer Science</w:t>
            </w:r>
          </w:p>
          <w:p>
            <w:pPr>
              <w:jc w:val="center"/>
            </w:pPr>
            <w:r>
              <w:rPr>
                <w:rFonts w:ascii="Times New Roman" w:hAnsi="Times New Roman" w:eastAsia="Times New Roman"/>
                <w:i/>
                <w:sz w:val="20"/>
              </w:rPr>
              <w:t>and Business Systems</w:t>
            </w:r>
          </w:p>
          <w:p>
            <w:pPr>
              <w:jc w:val="center"/>
            </w:pPr>
            <w:r>
              <w:rPr>
                <w:rFonts w:ascii="Times New Roman" w:hAnsi="Times New Roman" w:eastAsia="Times New Roman"/>
                <w:i/>
                <w:sz w:val="20"/>
              </w:rPr>
              <w:t>Mukesh Patel School of</w:t>
            </w:r>
          </w:p>
          <w:p>
            <w:pPr>
              <w:jc w:val="center"/>
            </w:pPr>
            <w:r>
              <w:rPr>
                <w:rFonts w:ascii="Times New Roman" w:hAnsi="Times New Roman" w:eastAsia="Times New Roman"/>
                <w:i/>
                <w:sz w:val="20"/>
              </w:rPr>
              <w:t>Technology Management</w:t>
            </w:r>
          </w:p>
          <w:p>
            <w:pPr>
              <w:jc w:val="center"/>
            </w:pPr>
            <w:r>
              <w:rPr>
                <w:rFonts w:ascii="Times New Roman" w:hAnsi="Times New Roman" w:eastAsia="Times New Roman"/>
                <w:i/>
                <w:sz w:val="20"/>
              </w:rPr>
              <w:t>and Engineering, NMIMS</w:t>
            </w:r>
          </w:p>
          <w:p>
            <w:pPr>
              <w:jc w:val="center"/>
            </w:pPr>
            <w:r>
              <w:rPr>
                <w:rFonts w:ascii="Times New Roman" w:hAnsi="Times New Roman" w:eastAsia="Times New Roman"/>
                <w:i/>
                <w:sz w:val="20"/>
              </w:rPr>
              <w:t>Mumbai, India</w:t>
            </w:r>
          </w:p>
          <w:p>
            <w:pPr>
              <w:jc w:val="center"/>
            </w:pPr>
            <w:r>
              <w:rPr>
                <w:rFonts w:ascii="Times New Roman" w:hAnsi="Times New Roman" w:eastAsia="Times New Roman"/>
                <w:i/>
                <w:color w:val="C00000"/>
                <w:sz w:val="20"/>
              </w:rPr>
              <w:t xml:space="preserve">[TODO: </w:t>
            </w:r>
            <w:r>
              <w:rPr>
                <w:rFonts w:ascii="Times New Roman" w:hAnsi="Times New Roman" w:eastAsia="Times New Roman"/>
                <w:i/>
                <w:color w:val="C00000"/>
                <w:sz w:val="20"/>
              </w:rPr>
              <w:t>email</w:t>
            </w:r>
            <w:r>
              <w:rPr>
                <w:rFonts w:ascii="Times New Roman" w:hAnsi="Times New Roman" w:eastAsia="Times New Roman"/>
                <w:i/>
                <w:color w:val="C00000"/>
                <w:sz w:val="20"/>
              </w:rPr>
              <w:t>]</w:t>
            </w:r>
          </w:p>
        </w:tc>
      </w:tr>
    </w:tbl>
    <w:p>
      <w:pPr>
        <w:spacing w:before="0" w:after="120" w:line="240" w:lineRule="auto"/>
        <w:jc w:val="both"/>
      </w:pPr>
    </w:p>
    <w:p>
      <w:pPr>
        <w:sectPr>
          <w:pgSz w:w="12240" w:h="15840"/>
          <w:pgMar w:top="1080" w:right="900" w:bottom="1440" w:left="900" w:header="720" w:footer="720" w:gutter="0"/>
          <w:cols w:space="360" w:num="1"/>
          <w:docGrid w:linePitch="360"/>
        </w:sectPr>
      </w:pPr>
    </w:p>
    <w:p>
      <w:pPr>
        <w:spacing w:before="0" w:after="120" w:line="240" w:lineRule="auto"/>
        <w:ind w:firstLine="200"/>
        <w:jc w:val="both"/>
      </w:pPr>
      <w:r>
        <w:rPr>
          <w:rFonts w:ascii="Times New Roman" w:hAnsi="Times New Roman" w:eastAsia="Times New Roman"/>
          <w:b/>
          <w:i/>
          <w:sz w:val="18"/>
        </w:rPr>
        <w:t>Abstract</w:t>
      </w:r>
      <w:r>
        <w:rPr>
          <w:rFonts w:ascii="Times New Roman" w:hAnsi="Times New Roman" w:eastAsia="Times New Roman"/>
          <w:b/>
          <w:sz w:val="18"/>
        </w:rPr>
        <w:t>—</w:t>
      </w:r>
      <w:r>
        <w:rPr>
          <w:rFonts w:ascii="Times New Roman" w:hAnsi="Times New Roman" w:eastAsia="Times New Roman"/>
          <w:b/>
          <w:sz w:val="18"/>
        </w:rPr>
        <w:t xml:space="preserve">Meetings produce decisions, but the reasoning behind them—alternatives weighed, rationale, conditions and dissent—rarely survives into the written record. We study whether current AI can recover that reasoning and detect when a filed document has dropped it. We build EDIA (Explainable Decision Intelligence Assistant), a pipeline that extracts structured decision reasoning from transcripts with an open 7B language model and flags reasoning elements missing from the accompanying document, and we evaluate it on </w:t>
      </w:r>
      <w:r>
        <w:rPr>
          <w:rFonts w:ascii="Times New Roman" w:hAnsi="Times New Roman" w:eastAsia="Times New Roman"/>
          <w:b/>
          <w:i/>
          <w:sz w:val="18"/>
        </w:rPr>
        <w:t>adhd_v1</w:t>
      </w:r>
      <w:r>
        <w:rPr>
          <w:rFonts w:ascii="Times New Roman" w:hAnsi="Times New Roman" w:eastAsia="Times New Roman"/>
          <w:b/>
          <w:sz w:val="18"/>
        </w:rPr>
        <w:t xml:space="preserve">, a 371-pair, 6,647-element benchmark with three label tiers (hand-labelled, NLI-labelled, and constructed). Three findings stand out. First, on the only class-balanced tier a lexical-overlap detector outperforms an NLI entailment detector (balanced accuracy 0.775 vs. 0.629), because NLI fails to recognise content that </w:t>
      </w:r>
      <w:r>
        <w:rPr>
          <w:rFonts w:ascii="Times New Roman" w:hAnsi="Times New Roman" w:eastAsia="Times New Roman"/>
          <w:b/>
          <w:i/>
          <w:sz w:val="18"/>
        </w:rPr>
        <w:t>did</w:t>
      </w:r>
      <w:r>
        <w:rPr>
          <w:rFonts w:ascii="Times New Roman" w:hAnsi="Times New Roman" w:eastAsia="Times New Roman"/>
          <w:b/>
          <w:sz w:val="18"/>
        </w:rPr>
        <w:t xml:space="preserve"> survive into a compressed summary, including verbatim copies (accuracy 0.292); an LLM judge performs at chance, and a human spot-check finds that about half of the gaps flagged by NLI-produced corpus labels are content the summary does contain. Second, extraction recovers 33.3–58.3% of human-identified reasoning (lexical to semantic matching) on hand-labelled meetings, and 55% of the residual misses require multi-hop reasoning across distant turns, while none are caused by chunk boundaries. Third, chain-of-thought prompting, GraphRAG and multi-hop retrieval do not lift this ceiling (GraphRAG: 4.2–14.6%). We argue the ceiling is structural: the missing reasoning is scattered and implicit, which current retrieval and generation methods do not address.</w:t>
      </w:r>
    </w:p>
    <w:p>
      <w:pPr>
        <w:spacing w:before="0" w:after="160" w:line="240" w:lineRule="auto"/>
        <w:ind w:firstLine="200"/>
        <w:jc w:val="both"/>
      </w:pPr>
      <w:r>
        <w:rPr>
          <w:rFonts w:ascii="Times New Roman" w:hAnsi="Times New Roman" w:eastAsia="Times New Roman"/>
          <w:b/>
          <w:i/>
          <w:sz w:val="18"/>
        </w:rPr>
        <w:t>Index Terms</w:t>
      </w:r>
      <w:r>
        <w:rPr>
          <w:rFonts w:ascii="Times New Roman" w:hAnsi="Times New Roman" w:eastAsia="Times New Roman"/>
          <w:b/>
          <w:sz w:val="18"/>
        </w:rPr>
        <w:t>—</w:t>
      </w:r>
      <w:r>
        <w:rPr>
          <w:rFonts w:ascii="Times New Roman" w:hAnsi="Times New Roman" w:eastAsia="Times New Roman"/>
          <w:b/>
          <w:sz w:val="18"/>
        </w:rPr>
        <w:t>meeting summarization, decision extraction, natural language inference, information extraction, multi-hop reasoning, evaluation</w:t>
      </w:r>
    </w:p>
    <w:p>
      <w:pPr>
        <w:keepNext/>
        <w:spacing w:before="200" w:after="80" w:line="240" w:lineRule="auto"/>
        <w:jc w:val="center"/>
      </w:pPr>
      <w:r>
        <w:rPr>
          <w:rFonts w:ascii="Times New Roman" w:hAnsi="Times New Roman" w:eastAsia="Times New Roman"/>
          <w:smallCaps/>
          <w:sz w:val="20"/>
        </w:rPr>
        <w:t xml:space="preserve">I. </w:t>
      </w:r>
      <w:r>
        <w:rPr>
          <w:rFonts w:ascii="Times New Roman" w:hAnsi="Times New Roman" w:eastAsia="Times New Roman"/>
          <w:smallCaps/>
          <w:sz w:val="20"/>
        </w:rPr>
        <w:t>Introduction</w:t>
      </w:r>
    </w:p>
    <w:p>
      <w:pPr>
        <w:spacing w:before="0" w:after="0" w:line="240" w:lineRule="auto"/>
        <w:ind w:firstLine="200"/>
        <w:jc w:val="both"/>
      </w:pPr>
      <w:r>
        <w:rPr>
          <w:rFonts w:ascii="Times New Roman" w:hAnsi="Times New Roman" w:eastAsia="Times New Roman"/>
          <w:sz w:val="20"/>
        </w:rPr>
        <w:t xml:space="preserve">Organisations record </w:t>
      </w:r>
      <w:r>
        <w:rPr>
          <w:rFonts w:ascii="Times New Roman" w:hAnsi="Times New Roman" w:eastAsia="Times New Roman"/>
          <w:i/>
          <w:sz w:val="20"/>
        </w:rPr>
        <w:t>what</w:t>
      </w:r>
      <w:r>
        <w:rPr>
          <w:rFonts w:ascii="Times New Roman" w:hAnsi="Times New Roman" w:eastAsia="Times New Roman"/>
          <w:sz w:val="20"/>
        </w:rPr>
        <w:t xml:space="preserve"> was decided far more reliably than </w:t>
      </w:r>
      <w:r>
        <w:rPr>
          <w:rFonts w:ascii="Times New Roman" w:hAnsi="Times New Roman" w:eastAsia="Times New Roman"/>
          <w:i/>
          <w:sz w:val="20"/>
        </w:rPr>
        <w:t>why</w:t>
      </w:r>
      <w:r>
        <w:rPr>
          <w:rFonts w:ascii="Times New Roman" w:hAnsi="Times New Roman" w:eastAsia="Times New Roman"/>
          <w:sz w:val="20"/>
        </w:rPr>
        <w:t xml:space="preserve">. Minutes and summaries compress hours of discussion into a few sentences, and the reasoning that made a decision defensible—which options were rejected, which concerns were raised, which conditions were attached—is the first thing cut. When that reasoning is later needed, for an audit, a reversal, or onboarding, it is often gone. We call a reasoning element that was voiced in a meeting but is absent from the filed document a </w:t>
      </w:r>
      <w:r>
        <w:rPr>
          <w:rFonts w:ascii="Times New Roman" w:hAnsi="Times New Roman" w:eastAsia="Times New Roman"/>
          <w:i/>
          <w:sz w:val="20"/>
        </w:rPr>
        <w:t>decision-context gap</w:t>
      </w:r>
      <w:r>
        <w:rPr>
          <w:rFonts w:ascii="Times New Roman" w:hAnsi="Times New Roman" w:eastAsia="Times New Roman"/>
          <w:sz w:val="20"/>
        </w:rPr>
        <w:t>.</w:t>
      </w:r>
    </w:p>
    <w:p>
      <w:pPr>
        <w:spacing w:before="0" w:after="0" w:line="240" w:lineRule="auto"/>
        <w:ind w:firstLine="200"/>
        <w:jc w:val="both"/>
      </w:pPr>
      <w:r>
        <w:rPr>
          <w:rFonts w:ascii="Times New Roman" w:hAnsi="Times New Roman" w:eastAsia="Times New Roman"/>
          <w:sz w:val="20"/>
        </w:rPr>
        <w:t>Detecting such gaps automatically requires two capabilities: extracting the reasoning that a meeting actually contains, and deciding whether each extracted element is present in the document. Both look within reach of current language models. This paper tests that assumption rigorously rather than assuming it, and reports where and why it breaks.</w:t>
      </w:r>
    </w:p>
    <w:p>
      <w:pPr>
        <w:spacing w:before="0" w:after="0" w:line="240" w:lineRule="auto"/>
        <w:ind w:firstLine="200"/>
        <w:jc w:val="both"/>
      </w:pPr>
      <w:r>
        <w:rPr>
          <w:rFonts w:ascii="Times New Roman" w:hAnsi="Times New Roman" w:eastAsia="Times New Roman"/>
          <w:sz w:val="20"/>
        </w:rPr>
        <w:t>We make four contributions:</w:t>
      </w:r>
    </w:p>
    <w:p>
      <w:pPr>
        <w:pStyle w:val="ListBullet"/>
        <w:jc w:val="both"/>
      </w:pPr>
      <w:r>
        <w:rPr>
          <w:rFonts w:ascii="Times New Roman" w:hAnsi="Times New Roman" w:eastAsia="Times New Roman"/>
          <w:b/>
          <w:sz w:val="20"/>
        </w:rPr>
        <w:t>EDIA</w:t>
      </w:r>
      <w:r>
        <w:rPr>
          <w:rFonts w:ascii="Times New Roman" w:hAnsi="Times New Roman" w:eastAsia="Times New Roman"/>
          <w:sz w:val="20"/>
        </w:rPr>
        <w:t xml:space="preserve"> (Explainable Decision Intelligence Assistant), an end-to-end pipeline for structured decision-reasoning extraction and gap detection, run entirely on open models.</w:t>
      </w:r>
    </w:p>
    <w:p>
      <w:pPr>
        <w:pStyle w:val="ListBullet"/>
        <w:jc w:val="both"/>
      </w:pPr>
      <w:r>
        <w:rPr>
          <w:rFonts w:ascii="Times New Roman" w:hAnsi="Times New Roman" w:eastAsia="Times New Roman"/>
          <w:b/>
          <w:sz w:val="20"/>
        </w:rPr>
        <w:t>adhd_v1</w:t>
      </w:r>
      <w:r>
        <w:rPr>
          <w:rFonts w:ascii="Times New Roman" w:hAnsi="Times New Roman" w:eastAsia="Times New Roman"/>
          <w:sz w:val="20"/>
        </w:rPr>
        <w:t>, a three-tier benchmark (hand-labelled, NLI-labelled and constructed pairs) with explicit label provenance, designed so that detector comparisons are made where the class balance allows them to be meaningful.</w:t>
      </w:r>
    </w:p>
    <w:p>
      <w:pPr>
        <w:pStyle w:val="ListBullet"/>
        <w:jc w:val="both"/>
      </w:pPr>
      <w:r>
        <w:rPr>
          <w:rFonts w:ascii="Times New Roman" w:hAnsi="Times New Roman" w:eastAsia="Times New Roman"/>
          <w:b/>
          <w:sz w:val="20"/>
        </w:rPr>
        <w:t>A diagnosis</w:t>
      </w:r>
      <w:r>
        <w:rPr>
          <w:rFonts w:ascii="Times New Roman" w:hAnsi="Times New Roman" w:eastAsia="Times New Roman"/>
          <w:sz w:val="20"/>
        </w:rPr>
        <w:t xml:space="preserve"> of the extraction ceiling through a manually annotated failure taxonomy, showing that multi-hop reasoning—not chunking, paraphrase or hallucination—dominates the residual misses.</w:t>
      </w:r>
    </w:p>
    <w:p>
      <w:pPr>
        <w:pStyle w:val="ListBullet"/>
        <w:jc w:val="both"/>
      </w:pPr>
      <w:r>
        <w:rPr>
          <w:rFonts w:ascii="Times New Roman" w:hAnsi="Times New Roman" w:eastAsia="Times New Roman"/>
          <w:b/>
          <w:sz w:val="20"/>
        </w:rPr>
        <w:t>A comparative analysis</w:t>
      </w:r>
      <w:r>
        <w:rPr>
          <w:rFonts w:ascii="Times New Roman" w:hAnsi="Times New Roman" w:eastAsia="Times New Roman"/>
          <w:sz w:val="20"/>
        </w:rPr>
        <w:t xml:space="preserve"> showing that chain-of-thought prompting, GraphRAG and multi-hop retrieval each fail to break the ceiling for an identifiable reason.</w:t>
      </w:r>
    </w:p>
    <w:p>
      <w:pPr>
        <w:spacing w:before="0" w:after="0" w:line="240" w:lineRule="auto"/>
        <w:ind w:firstLine="200"/>
        <w:jc w:val="both"/>
      </w:pPr>
      <w:r>
        <w:rPr>
          <w:rFonts w:ascii="Times New Roman" w:hAnsi="Times New Roman" w:eastAsia="Times New Roman"/>
          <w:sz w:val="20"/>
        </w:rPr>
        <w:t xml:space="preserve">Our answer to the feasibility question is </w:t>
      </w:r>
      <w:r>
        <w:rPr>
          <w:rFonts w:ascii="Times New Roman" w:hAnsi="Times New Roman" w:eastAsia="Times New Roman"/>
          <w:i/>
          <w:sz w:val="20"/>
        </w:rPr>
        <w:t>partially</w:t>
      </w:r>
      <w:r>
        <w:rPr>
          <w:rFonts w:ascii="Times New Roman" w:hAnsi="Times New Roman" w:eastAsia="Times New Roman"/>
          <w:sz w:val="20"/>
        </w:rPr>
        <w:t>: the pipeline recovers between a third and well over half of the reasoning a human finds (33–58%, depending on how strictly a match is judged), and the remainder is precisely the reasoning that is hardest to locate.</w:t>
      </w:r>
    </w:p>
    <w:p>
      <w:pPr>
        <w:keepNext/>
        <w:spacing w:before="200" w:after="80" w:line="240" w:lineRule="auto"/>
        <w:jc w:val="center"/>
      </w:pPr>
      <w:r>
        <w:rPr>
          <w:rFonts w:ascii="Times New Roman" w:hAnsi="Times New Roman" w:eastAsia="Times New Roman"/>
          <w:smallCaps/>
          <w:sz w:val="20"/>
        </w:rPr>
        <w:t xml:space="preserve">II. </w:t>
      </w:r>
      <w:r>
        <w:rPr>
          <w:rFonts w:ascii="Times New Roman" w:hAnsi="Times New Roman" w:eastAsia="Times New Roman"/>
          <w:smallCaps/>
          <w:sz w:val="20"/>
        </w:rPr>
        <w:t>Background and Related Work</w:t>
      </w:r>
    </w:p>
    <w:p>
      <w:pPr>
        <w:spacing w:before="0" w:after="0" w:line="240" w:lineRule="auto"/>
        <w:ind w:firstLine="200"/>
        <w:jc w:val="both"/>
      </w:pPr>
      <w:r>
        <w:rPr>
          <w:rFonts w:ascii="Times New Roman" w:hAnsi="Times New Roman" w:eastAsia="Times New Roman"/>
          <w:b/>
          <w:sz w:val="20"/>
        </w:rPr>
        <w:t>Meeting corpora and summarization.</w:t>
      </w:r>
      <w:r>
        <w:rPr>
          <w:rFonts w:ascii="Times New Roman" w:hAnsi="Times New Roman" w:eastAsia="Times New Roman"/>
          <w:sz w:val="20"/>
        </w:rPr>
        <w:t xml:space="preserve"> QMSum [1] pairs meeting transcripts from three domains—academic group meetings from the ICSI corpus [2], product-design meetings from the AMI corpus [3], and parliamentary committee meetings—with query-based summaries. We use QMSum’s summaries as stand-ins for filed documents: they are exactly the kind of compressed, human-written record in which reasoning is lost.</w:t>
      </w:r>
    </w:p>
    <w:p>
      <w:pPr>
        <w:spacing w:before="0" w:after="0" w:line="240" w:lineRule="auto"/>
        <w:ind w:firstLine="200"/>
        <w:jc w:val="both"/>
      </w:pPr>
      <w:r>
        <w:rPr>
          <w:rFonts w:ascii="Times New Roman" w:hAnsi="Times New Roman" w:eastAsia="Times New Roman"/>
          <w:b/>
          <w:sz w:val="20"/>
        </w:rPr>
        <w:t>Entailment for faithfulness.</w:t>
      </w:r>
      <w:r>
        <w:rPr>
          <w:rFonts w:ascii="Times New Roman" w:hAnsi="Times New Roman" w:eastAsia="Times New Roman"/>
          <w:sz w:val="20"/>
        </w:rPr>
        <w:t xml:space="preserve"> Natural language inference (NLI) models trained on MNLI [4], such as RoBERTa-large [5], are widely used to test whether a summary is supported by its source, e.g. SummaC [6] and FactCC [7]. Gap detection inverts that direction: the question is whether a </w:t>
      </w:r>
      <w:r>
        <w:rPr>
          <w:rFonts w:ascii="Times New Roman" w:hAnsi="Times New Roman" w:eastAsia="Times New Roman"/>
          <w:i/>
          <w:sz w:val="20"/>
        </w:rPr>
        <w:t>source</w:t>
      </w:r>
      <w:r>
        <w:rPr>
          <w:rFonts w:ascii="Times New Roman" w:hAnsi="Times New Roman" w:eastAsia="Times New Roman"/>
          <w:sz w:val="20"/>
        </w:rPr>
        <w:t xml:space="preserve"> element is carried by a much shorter summary, which we find to be a poor fit for sentence-level NLI.</w:t>
      </w:r>
    </w:p>
    <w:p>
      <w:pPr>
        <w:spacing w:before="0" w:after="0" w:line="240" w:lineRule="auto"/>
        <w:ind w:firstLine="200"/>
        <w:jc w:val="both"/>
      </w:pPr>
      <w:r>
        <w:rPr>
          <w:rFonts w:ascii="Times New Roman" w:hAnsi="Times New Roman" w:eastAsia="Times New Roman"/>
          <w:b/>
          <w:sz w:val="20"/>
        </w:rPr>
        <w:t>LLMs as judges.</w:t>
      </w:r>
      <w:r>
        <w:rPr>
          <w:rFonts w:ascii="Times New Roman" w:hAnsi="Times New Roman" w:eastAsia="Times New Roman"/>
          <w:sz w:val="20"/>
        </w:rPr>
        <w:t xml:space="preserve"> Using a language model to grade content is attractive but known to suffer from systematic biases [8]; we observe a severe instance.</w:t>
      </w:r>
    </w:p>
    <w:p>
      <w:pPr>
        <w:spacing w:before="0" w:after="0" w:line="240" w:lineRule="auto"/>
        <w:ind w:firstLine="200"/>
        <w:jc w:val="both"/>
      </w:pPr>
      <w:r>
        <w:rPr>
          <w:rFonts w:ascii="Times New Roman" w:hAnsi="Times New Roman" w:eastAsia="Times New Roman"/>
          <w:b/>
          <w:sz w:val="20"/>
        </w:rPr>
        <w:t>Retrieval and multi-hop reasoning.</w:t>
      </w:r>
      <w:r>
        <w:rPr>
          <w:rFonts w:ascii="Times New Roman" w:hAnsi="Times New Roman" w:eastAsia="Times New Roman"/>
          <w:sz w:val="20"/>
        </w:rPr>
        <w:t xml:space="preserve"> Retrieval-augmented generation [9] and multi-hop question answering [10] address evidence spread across documents. GraphRAG [11] builds an entity graph with community summaries for query-focused summarization. Chain-of-thought prompting [12] improves reasoning over content already in context. None is designed for reasoning that is scattered across a long, multi-speaker conversation and often never stated explicitly.</w:t>
      </w:r>
    </w:p>
    <w:p>
      <w:pPr>
        <w:keepNext/>
        <w:spacing w:before="200" w:after="80" w:line="240" w:lineRule="auto"/>
        <w:jc w:val="center"/>
      </w:pPr>
      <w:r>
        <w:rPr>
          <w:rFonts w:ascii="Times New Roman" w:hAnsi="Times New Roman" w:eastAsia="Times New Roman"/>
          <w:smallCaps/>
          <w:sz w:val="20"/>
        </w:rPr>
        <w:t xml:space="preserve">III. </w:t>
      </w:r>
      <w:r>
        <w:rPr>
          <w:rFonts w:ascii="Times New Roman" w:hAnsi="Times New Roman" w:eastAsia="Times New Roman"/>
          <w:smallCaps/>
          <w:sz w:val="20"/>
        </w:rPr>
        <w:t>The EDIA Pipeline</w:t>
      </w:r>
    </w:p>
    <w:p>
      <w:pPr>
        <w:spacing w:before="0" w:after="0" w:line="240" w:lineRule="auto"/>
        <w:ind w:firstLine="200"/>
        <w:jc w:val="both"/>
      </w:pPr>
      <w:r>
        <w:rPr>
          <w:rFonts w:ascii="Times New Roman" w:hAnsi="Times New Roman" w:eastAsia="Times New Roman"/>
          <w:sz w:val="20"/>
        </w:rPr>
        <w:t>Fig. 1 summarises the pipeline: transcripts are chunked and passed to an extractor that emits structured decision records, whose reasoning elements are then checked against the filed document by a gap detector.</w:t>
      </w:r>
    </w:p>
    <w:p>
      <w:pPr>
        <w:keepNext/>
        <w:spacing w:before="120" w:after="0" w:line="240" w:lineRule="auto"/>
        <w:jc w:val="center"/>
      </w:pPr>
      <w:r>
        <w:drawing>
          <wp:inline xmlns:a="http://schemas.openxmlformats.org/drawingml/2006/main" xmlns:pic="http://schemas.openxmlformats.org/drawingml/2006/picture">
            <wp:extent cx="3154680" cy="2057400"/>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3154680" cy="2057400"/>
                    </a:xfrm>
                    <a:prstGeom prst="rect"/>
                  </pic:spPr>
                </pic:pic>
              </a:graphicData>
            </a:graphic>
          </wp:inline>
        </w:drawing>
      </w:r>
    </w:p>
    <w:p>
      <w:pPr>
        <w:spacing w:before="0" w:after="160" w:line="240" w:lineRule="auto"/>
        <w:jc w:val="both"/>
      </w:pPr>
      <w:r>
        <w:rPr>
          <w:rFonts w:ascii="Times New Roman" w:hAnsi="Times New Roman" w:eastAsia="Times New Roman"/>
          <w:sz w:val="16"/>
        </w:rPr>
        <w:t xml:space="preserve">Fig. 1. </w:t>
      </w:r>
      <w:r>
        <w:rPr>
          <w:rFonts w:ascii="Times New Roman" w:hAnsi="Times New Roman" w:eastAsia="Times New Roman"/>
          <w:sz w:val="16"/>
        </w:rPr>
        <w:t>The EDIA pipeline. Grey: extraction stage; dashed: evaluation. In the benchmark, gap detectors are scored directly on labelled reasoning elements, and extraction is scored separately against hand-labelled ground truth.</w:t>
      </w:r>
    </w:p>
    <w:p>
      <w:pPr>
        <w:keepNext/>
        <w:spacing w:before="120" w:after="60" w:line="240" w:lineRule="auto"/>
        <w:jc w:val="left"/>
      </w:pPr>
      <w:r>
        <w:rPr>
          <w:rFonts w:ascii="Times New Roman" w:hAnsi="Times New Roman" w:eastAsia="Times New Roman"/>
          <w:i/>
          <w:sz w:val="20"/>
        </w:rPr>
        <w:t xml:space="preserve">A. </w:t>
      </w:r>
      <w:r>
        <w:rPr>
          <w:rFonts w:ascii="Times New Roman" w:hAnsi="Times New Roman" w:eastAsia="Times New Roman"/>
          <w:i/>
          <w:sz w:val="20"/>
        </w:rPr>
        <w:t>Schema and extraction</w:t>
      </w:r>
    </w:p>
    <w:p>
      <w:pPr>
        <w:spacing w:before="0" w:after="0" w:line="240" w:lineRule="auto"/>
        <w:ind w:firstLine="200"/>
        <w:jc w:val="both"/>
      </w:pPr>
      <w:r>
        <w:rPr>
          <w:rFonts w:ascii="Times New Roman" w:hAnsi="Times New Roman" w:eastAsia="Times New Roman"/>
          <w:sz w:val="20"/>
        </w:rPr>
        <w:t>Each decision is represented as a record with the decision statement, topic, status (decided, provisional, deferred, rejected, unclear), alternatives (with rejection flag and reason), rationale, conditions, dissent, owner, approver, and verbatim evidence quotes with speaker labels. Transcripts are split into chunks of at most 1,200 tokens with a two-turn overlap, and each chunk is sent to Mistral 7B [13] (via Ollama</w:t>
      </w:r>
      <w:r>
        <w:rPr>
          <w:rFonts w:ascii="Times New Roman" w:hAnsi="Times New Roman" w:eastAsia="Times New Roman"/>
          <w:sz w:val="20"/>
        </w:rPr>
        <w:t xml:space="preserve">, </w:t>
      </w:r>
      <w:r>
        <w:rPr>
          <w:rFonts w:ascii="Times New Roman" w:hAnsi="Times New Roman" w:eastAsia="Times New Roman"/>
          <w:sz w:val="20"/>
        </w:rPr>
        <w:t>https://ollama.com</w:t>
      </w:r>
      <w:r>
        <w:rPr>
          <w:rFonts w:ascii="Times New Roman" w:hAnsi="Times New Roman" w:eastAsia="Times New Roman"/>
          <w:sz w:val="20"/>
        </w:rPr>
        <w:t>) with a prompt that forbids inference beyond the excerpt and requires quotes to be copied character-for-character. Decoding settings are deterministic (temperature 0, top-</w:t>
      </w:r>
      <w:r>
        <w:rPr>
          <w:rFonts w:ascii="Times New Roman" w:hAnsi="Times New Roman" w:eastAsia="Times New Roman"/>
          <w:i/>
          <w:sz w:val="20"/>
        </w:rPr>
        <w:t>k</w:t>
      </w:r>
      <w:r>
        <w:rPr>
          <w:rFonts w:ascii="Times New Roman" w:hAnsi="Times New Roman" w:eastAsia="Times New Roman"/>
          <w:sz w:val="20"/>
        </w:rPr>
        <w:t xml:space="preserve"> 1, fixed seed, 8,192-token context, 2,048-token output cap) under JSON-constrained output; unparseable output triggers one repair call.</w:t>
      </w:r>
    </w:p>
    <w:p>
      <w:pPr>
        <w:keepNext/>
        <w:spacing w:before="120" w:after="60" w:line="240" w:lineRule="auto"/>
        <w:jc w:val="left"/>
      </w:pPr>
      <w:r>
        <w:rPr>
          <w:rFonts w:ascii="Times New Roman" w:hAnsi="Times New Roman" w:eastAsia="Times New Roman"/>
          <w:i/>
          <w:sz w:val="20"/>
        </w:rPr>
        <w:t xml:space="preserve">B. </w:t>
      </w:r>
      <w:r>
        <w:rPr>
          <w:rFonts w:ascii="Times New Roman" w:hAnsi="Times New Roman" w:eastAsia="Times New Roman"/>
          <w:i/>
          <w:sz w:val="20"/>
        </w:rPr>
        <w:t>Gap detection</w:t>
      </w:r>
    </w:p>
    <w:p>
      <w:pPr>
        <w:spacing w:before="0" w:after="0" w:line="240" w:lineRule="auto"/>
        <w:ind w:firstLine="200"/>
        <w:jc w:val="both"/>
      </w:pPr>
      <w:r>
        <w:rPr>
          <w:rFonts w:ascii="Times New Roman" w:hAnsi="Times New Roman" w:eastAsia="Times New Roman"/>
          <w:sz w:val="20"/>
        </w:rPr>
        <w:t xml:space="preserve">Given a document and a reasoning element, a detector returns a present-score in </w:t>
      </w:r>
      <w:r>
        <w:rPr>
          <w:rFonts w:ascii="Times New Roman" w:hAnsi="Times New Roman" w:eastAsia="Times New Roman"/>
          <w:sz w:val="20"/>
        </w:rPr>
        <w:t>[0,1]</w:t>
      </w:r>
      <w:r>
        <w:rPr>
          <w:rFonts w:ascii="Times New Roman" w:hAnsi="Times New Roman" w:eastAsia="Times New Roman"/>
          <w:sz w:val="20"/>
        </w:rPr>
        <w:t xml:space="preserve">; the element is predicted to be a gap if the score is below a threshold (0.55). We compare four detectors: (i) </w:t>
      </w:r>
      <w:r>
        <w:rPr>
          <w:rFonts w:ascii="Times New Roman" w:hAnsi="Times New Roman" w:eastAsia="Times New Roman"/>
          <w:i/>
          <w:sz w:val="20"/>
        </w:rPr>
        <w:t>lexical</w:t>
      </w:r>
      <w:r>
        <w:rPr>
          <w:rFonts w:ascii="Times New Roman" w:hAnsi="Times New Roman" w:eastAsia="Times New Roman"/>
          <w:sz w:val="20"/>
        </w:rPr>
        <w:t xml:space="preserve">, token-level F1 overlap with the document; (ii) </w:t>
      </w:r>
      <w:r>
        <w:rPr>
          <w:rFonts w:ascii="Times New Roman" w:hAnsi="Times New Roman" w:eastAsia="Times New Roman"/>
          <w:i/>
          <w:sz w:val="20"/>
        </w:rPr>
        <w:t>NLI</w:t>
      </w:r>
      <w:r>
        <w:rPr>
          <w:rFonts w:ascii="Times New Roman" w:hAnsi="Times New Roman" w:eastAsia="Times New Roman"/>
          <w:sz w:val="20"/>
        </w:rPr>
        <w:t xml:space="preserve">, the entailment probability of the element given the document under </w:t>
      </w:r>
      <w:r>
        <w:rPr>
          <w:rFonts w:ascii="Courier New" w:hAnsi="Courier New" w:eastAsia="Courier New"/>
          <w:sz w:val="20"/>
        </w:rPr>
        <w:t>roberta-large-mnli</w:t>
      </w:r>
      <w:r>
        <w:rPr>
          <w:rFonts w:ascii="Times New Roman" w:hAnsi="Times New Roman" w:eastAsia="Times New Roman"/>
          <w:sz w:val="20"/>
        </w:rPr>
        <w:t xml:space="preserve">; (iii) an </w:t>
      </w:r>
      <w:r>
        <w:rPr>
          <w:rFonts w:ascii="Times New Roman" w:hAnsi="Times New Roman" w:eastAsia="Times New Roman"/>
          <w:i/>
          <w:sz w:val="20"/>
        </w:rPr>
        <w:t>LLM judge</w:t>
      </w:r>
      <w:r>
        <w:rPr>
          <w:rFonts w:ascii="Times New Roman" w:hAnsi="Times New Roman" w:eastAsia="Times New Roman"/>
          <w:sz w:val="20"/>
        </w:rPr>
        <w:t xml:space="preserve">, Mistral 7B asked whether the substance of the element is present in the document, returning a verdict and confidence; and (iv) an </w:t>
      </w:r>
      <w:r>
        <w:rPr>
          <w:rFonts w:ascii="Times New Roman" w:hAnsi="Times New Roman" w:eastAsia="Times New Roman"/>
          <w:i/>
          <w:sz w:val="20"/>
        </w:rPr>
        <w:t>ensemble</w:t>
      </w:r>
      <w:r>
        <w:rPr>
          <w:rFonts w:ascii="Times New Roman" w:hAnsi="Times New Roman" w:eastAsia="Times New Roman"/>
          <w:sz w:val="20"/>
        </w:rPr>
        <w:t xml:space="preserve"> that shifts each member’s present-score by that member’s own threshold (so that 0.5 means “present” for every member) and takes the maximum, i.e. it calls an element present if any member does.</w:t>
      </w:r>
    </w:p>
    <w:p>
      <w:pPr>
        <w:keepNext/>
        <w:spacing w:before="120" w:after="60" w:line="240" w:lineRule="auto"/>
        <w:jc w:val="left"/>
      </w:pPr>
      <w:r>
        <w:rPr>
          <w:rFonts w:ascii="Times New Roman" w:hAnsi="Times New Roman" w:eastAsia="Times New Roman"/>
          <w:i/>
          <w:sz w:val="20"/>
        </w:rPr>
        <w:t xml:space="preserve">C. </w:t>
      </w:r>
      <w:r>
        <w:rPr>
          <w:rFonts w:ascii="Times New Roman" w:hAnsi="Times New Roman" w:eastAsia="Times New Roman"/>
          <w:i/>
          <w:sz w:val="20"/>
        </w:rPr>
        <w:t>Evaluation design</w:t>
      </w:r>
    </w:p>
    <w:p>
      <w:pPr>
        <w:spacing w:before="0" w:after="0" w:line="240" w:lineRule="auto"/>
        <w:ind w:firstLine="200"/>
        <w:jc w:val="both"/>
      </w:pPr>
      <w:r>
        <w:rPr>
          <w:rFonts w:ascii="Times New Roman" w:hAnsi="Times New Roman" w:eastAsia="Times New Roman"/>
          <w:b/>
          <w:sz w:val="20"/>
        </w:rPr>
        <w:t>The base-rate problem.</w:t>
      </w:r>
      <w:r>
        <w:rPr>
          <w:rFonts w:ascii="Times New Roman" w:hAnsi="Times New Roman" w:eastAsia="Times New Roman"/>
          <w:sz w:val="20"/>
        </w:rPr>
        <w:t xml:space="preserve"> Most elements in real summaries are gaps: in the NLI-labelled QMSum tier the gap rate is 0.93, where a detector that answers “gap” to everything obtains a gap-class F1 of about 0.96. Gap F1 alone is therefore nearly uninformative. We report </w:t>
      </w:r>
      <w:r>
        <w:rPr>
          <w:rFonts w:ascii="Times New Roman" w:hAnsi="Times New Roman" w:eastAsia="Times New Roman"/>
          <w:i/>
          <w:sz w:val="20"/>
        </w:rPr>
        <w:t>balanced accuracy</w:t>
      </w:r>
      <w:r>
        <w:rPr>
          <w:rFonts w:ascii="Times New Roman" w:hAnsi="Times New Roman" w:eastAsia="Times New Roman"/>
          <w:sz w:val="20"/>
        </w:rPr>
        <w:t xml:space="preserve"> (the mean of gap and present recall, 0.5 for any constant detector) and </w:t>
      </w:r>
      <w:r>
        <w:rPr>
          <w:rFonts w:ascii="Times New Roman" w:hAnsi="Times New Roman" w:eastAsia="Times New Roman"/>
          <w:i/>
          <w:sz w:val="20"/>
        </w:rPr>
        <w:t>present-class F1</w:t>
      </w:r>
      <w:r>
        <w:rPr>
          <w:rFonts w:ascii="Times New Roman" w:hAnsi="Times New Roman" w:eastAsia="Times New Roman"/>
          <w:sz w:val="20"/>
        </w:rPr>
        <w:t xml:space="preserve"> beside every gap F1, and make detector comparisons on the class-balanced synthetic tier.</w:t>
      </w:r>
    </w:p>
    <w:p>
      <w:pPr>
        <w:spacing w:before="0" w:after="0" w:line="240" w:lineRule="auto"/>
        <w:ind w:firstLine="200"/>
        <w:jc w:val="both"/>
      </w:pPr>
      <w:r>
        <w:rPr>
          <w:rFonts w:ascii="Times New Roman" w:hAnsi="Times New Roman" w:eastAsia="Times New Roman"/>
          <w:b/>
          <w:sz w:val="20"/>
        </w:rPr>
        <w:t>Completeness.</w:t>
      </w:r>
      <w:r>
        <w:rPr>
          <w:rFonts w:ascii="Times New Roman" w:hAnsi="Times New Roman" w:eastAsia="Times New Roman"/>
          <w:sz w:val="20"/>
        </w:rPr>
        <w:t xml:space="preserve"> Extraction is scored as the fraction of hand-labelled reasoning elements matched by some extracted element. Because correct extractions are often worded differently, we report two matchers and never one alone: </w:t>
      </w:r>
      <w:r>
        <w:rPr>
          <w:rFonts w:ascii="Times New Roman" w:hAnsi="Times New Roman" w:eastAsia="Times New Roman"/>
          <w:i/>
          <w:sz w:val="20"/>
        </w:rPr>
        <w:t>lexical</w:t>
      </w:r>
      <w:r>
        <w:rPr>
          <w:rFonts w:ascii="Times New Roman" w:hAnsi="Times New Roman" w:eastAsia="Times New Roman"/>
          <w:sz w:val="20"/>
        </w:rPr>
        <w:t xml:space="preserve"> (token F1 </w:t>
      </w:r>
      <w:r>
        <w:rPr>
          <w:rFonts w:ascii="Times New Roman" w:hAnsi="Times New Roman" w:eastAsia="Times New Roman"/>
          <w:sz w:val="20"/>
        </w:rPr>
        <w:t>≥</w:t>
      </w:r>
      <w:r>
        <w:rPr>
          <w:rFonts w:ascii="Times New Roman" w:hAnsi="Times New Roman" w:eastAsia="Times New Roman"/>
          <w:sz w:val="20"/>
        </w:rPr>
        <w:t xml:space="preserve"> 0.45) and </w:t>
      </w:r>
      <w:r>
        <w:rPr>
          <w:rFonts w:ascii="Times New Roman" w:hAnsi="Times New Roman" w:eastAsia="Times New Roman"/>
          <w:i/>
          <w:sz w:val="20"/>
        </w:rPr>
        <w:t>semantic</w:t>
      </w:r>
      <w:r>
        <w:rPr>
          <w:rFonts w:ascii="Times New Roman" w:hAnsi="Times New Roman" w:eastAsia="Times New Roman"/>
          <w:sz w:val="20"/>
        </w:rPr>
        <w:t xml:space="preserve"> (cosine similarity of all-MiniLM-L6-v2 sentence embeddings [14] </w:t>
      </w:r>
      <w:r>
        <w:rPr>
          <w:rFonts w:ascii="Times New Roman" w:hAnsi="Times New Roman" w:eastAsia="Times New Roman"/>
          <w:sz w:val="20"/>
        </w:rPr>
        <w:t>≥</w:t>
      </w:r>
      <w:r>
        <w:rPr>
          <w:rFonts w:ascii="Times New Roman" w:hAnsi="Times New Roman" w:eastAsia="Times New Roman"/>
          <w:sz w:val="20"/>
        </w:rPr>
        <w:t xml:space="preserve"> 0.55).</w:t>
      </w:r>
    </w:p>
    <w:p>
      <w:pPr>
        <w:spacing w:before="0" w:after="0" w:line="240" w:lineRule="auto"/>
        <w:ind w:firstLine="200"/>
        <w:jc w:val="both"/>
      </w:pPr>
      <w:r>
        <w:rPr>
          <w:rFonts w:ascii="Times New Roman" w:hAnsi="Times New Roman" w:eastAsia="Times New Roman"/>
          <w:b/>
          <w:sz w:val="20"/>
        </w:rPr>
        <w:t>Hallucination.</w:t>
      </w:r>
      <w:r>
        <w:rPr>
          <w:rFonts w:ascii="Times New Roman" w:hAnsi="Times New Roman" w:eastAsia="Times New Roman"/>
          <w:sz w:val="20"/>
        </w:rPr>
        <w:t xml:space="preserve"> Each evidence quote is checked against its own source chunk after normalising case, punctuation and whitespace, and additionally ignoring transcription markers and filler words. The </w:t>
      </w:r>
      <w:r>
        <w:rPr>
          <w:rFonts w:ascii="Times New Roman" w:hAnsi="Times New Roman" w:eastAsia="Times New Roman"/>
          <w:i/>
          <w:sz w:val="20"/>
        </w:rPr>
        <w:t>unsupported-quote rate</w:t>
      </w:r>
      <w:r>
        <w:rPr>
          <w:rFonts w:ascii="Times New Roman" w:hAnsi="Times New Roman" w:eastAsia="Times New Roman"/>
          <w:sz w:val="20"/>
        </w:rPr>
        <w:t xml:space="preserve"> is the fraction of quotes not found under this check.</w:t>
      </w:r>
    </w:p>
    <w:p>
      <w:pPr>
        <w:keepNext/>
        <w:spacing w:before="200" w:after="80" w:line="240" w:lineRule="auto"/>
        <w:jc w:val="center"/>
      </w:pPr>
      <w:r>
        <w:rPr>
          <w:rFonts w:ascii="Times New Roman" w:hAnsi="Times New Roman" w:eastAsia="Times New Roman"/>
          <w:smallCaps/>
          <w:sz w:val="20"/>
        </w:rPr>
        <w:t xml:space="preserve">IV. </w:t>
      </w:r>
      <w:r>
        <w:rPr>
          <w:rFonts w:ascii="Times New Roman" w:hAnsi="Times New Roman" w:eastAsia="Times New Roman"/>
          <w:smallCaps/>
          <w:sz w:val="20"/>
        </w:rPr>
        <w:t>Dataset: adhd_v1</w:t>
      </w:r>
    </w:p>
    <w:p>
      <w:pPr>
        <w:spacing w:before="0" w:after="0" w:line="240" w:lineRule="auto"/>
        <w:ind w:firstLine="200"/>
        <w:jc w:val="both"/>
      </w:pPr>
      <w:r>
        <w:rPr>
          <w:rFonts w:ascii="Times New Roman" w:hAnsi="Times New Roman" w:eastAsia="Times New Roman"/>
          <w:sz w:val="20"/>
        </w:rPr>
        <w:t xml:space="preserve">Table I summarises the benchmark. Each pair contains a transcript, a short document, reasoning elements, and a per-element label: </w:t>
      </w:r>
      <w:r>
        <w:rPr>
          <w:rFonts w:ascii="Times New Roman" w:hAnsi="Times New Roman" w:eastAsia="Times New Roman"/>
          <w:i/>
          <w:sz w:val="20"/>
        </w:rPr>
        <w:t>omitted</w:t>
      </w:r>
      <w:r>
        <w:rPr>
          <w:rFonts w:ascii="Times New Roman" w:hAnsi="Times New Roman" w:eastAsia="Times New Roman"/>
          <w:sz w:val="20"/>
        </w:rPr>
        <w:t xml:space="preserve"> (a gap), </w:t>
      </w:r>
      <w:r>
        <w:rPr>
          <w:rFonts w:ascii="Times New Roman" w:hAnsi="Times New Roman" w:eastAsia="Times New Roman"/>
          <w:i/>
          <w:sz w:val="20"/>
        </w:rPr>
        <w:t>verbatim</w:t>
      </w:r>
      <w:r>
        <w:rPr>
          <w:rFonts w:ascii="Times New Roman" w:hAnsi="Times New Roman" w:eastAsia="Times New Roman"/>
          <w:sz w:val="20"/>
        </w:rPr>
        <w:t xml:space="preserve">, </w:t>
      </w:r>
      <w:r>
        <w:rPr>
          <w:rFonts w:ascii="Times New Roman" w:hAnsi="Times New Roman" w:eastAsia="Times New Roman"/>
          <w:i/>
          <w:sz w:val="20"/>
        </w:rPr>
        <w:t>paraphrased</w:t>
      </w:r>
      <w:r>
        <w:rPr>
          <w:rFonts w:ascii="Times New Roman" w:hAnsi="Times New Roman" w:eastAsia="Times New Roman"/>
          <w:sz w:val="20"/>
        </w:rPr>
        <w:t>, or present with unspecified wording.</w:t>
      </w:r>
    </w:p>
    <w:p>
      <w:pPr>
        <w:keepNext/>
        <w:spacing w:before="160" w:after="0" w:line="240" w:lineRule="auto"/>
        <w:jc w:val="center"/>
      </w:pPr>
      <w:r>
        <w:rPr>
          <w:rFonts w:ascii="Times New Roman" w:hAnsi="Times New Roman" w:eastAsia="Times New Roman"/>
          <w:smallCaps/>
          <w:sz w:val="16"/>
        </w:rPr>
        <w:t>TABLE I</w:t>
      </w:r>
    </w:p>
    <w:p>
      <w:pPr>
        <w:keepNext/>
        <w:spacing w:before="0" w:after="80" w:line="240" w:lineRule="auto"/>
        <w:jc w:val="center"/>
      </w:pPr>
      <w:r>
        <w:rPr>
          <w:rFonts w:ascii="Times New Roman" w:hAnsi="Times New Roman" w:eastAsia="Times New Roman"/>
          <w:smallCaps/>
          <w:sz w:val="16"/>
        </w:rPr>
        <w:t>The adhd_v1 benchmark (dataset locked).</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2088"/>
        <w:gridCol w:w="2088"/>
        <w:gridCol w:w="2088"/>
        <w:gridCol w:w="2088"/>
        <w:gridCol w:w="2088"/>
      </w:tblGrid>
      <w:tr>
        <w:tc>
          <w:tcPr>
            <w:tcW w:type="dxa" w:w="1385"/>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Tier</w:t>
            </w:r>
          </w:p>
        </w:tc>
        <w:tc>
          <w:tcPr>
            <w:tcW w:type="dxa" w:w="652"/>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Pairs</w:t>
            </w:r>
          </w:p>
        </w:tc>
        <w:tc>
          <w:tcPr>
            <w:tcW w:type="dxa" w:w="896"/>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Elements</w:t>
            </w:r>
          </w:p>
        </w:tc>
        <w:tc>
          <w:tcPr>
            <w:tcW w:type="dxa" w:w="896"/>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Gap rate</w:t>
            </w:r>
          </w:p>
        </w:tc>
        <w:tc>
          <w:tcPr>
            <w:tcW w:type="dxa" w:w="1140"/>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Labels</w:t>
            </w:r>
          </w:p>
        </w:tc>
      </w:tr>
      <w:tr>
        <w:tc>
          <w:tcPr>
            <w:tcW w:type="dxa" w:w="1385"/>
            <w:tcBorders>
              <w:top w:val="nil"/>
              <w:left w:val="nil"/>
              <w:bottom w:val="nil"/>
              <w:right w:val="nil"/>
            </w:tcBorders>
          </w:tcPr>
          <w:p>
            <w:pPr>
              <w:pStyle w:val="IEEETableText"/>
              <w:keepNext/>
              <w:jc w:val="left"/>
            </w:pPr>
            <w:r>
              <w:rPr>
                <w:rFonts w:ascii="Times New Roman" w:hAnsi="Times New Roman" w:eastAsia="Times New Roman"/>
                <w:sz w:val="16"/>
              </w:rPr>
              <w:t>Gold (QMSum)</w:t>
            </w:r>
          </w:p>
        </w:tc>
        <w:tc>
          <w:tcPr>
            <w:tcW w:type="dxa" w:w="652"/>
            <w:tcBorders>
              <w:top w:val="nil"/>
              <w:left w:val="nil"/>
              <w:bottom w:val="nil"/>
              <w:right w:val="nil"/>
            </w:tcBorders>
          </w:tcPr>
          <w:p>
            <w:pPr>
              <w:pStyle w:val="IEEETableText"/>
              <w:keepNext/>
              <w:jc w:val="right"/>
            </w:pPr>
            <w:r>
              <w:rPr>
                <w:rFonts w:ascii="Times New Roman" w:hAnsi="Times New Roman" w:eastAsia="Times New Roman"/>
                <w:sz w:val="16"/>
              </w:rPr>
              <w:t>5</w:t>
            </w:r>
          </w:p>
        </w:tc>
        <w:tc>
          <w:tcPr>
            <w:tcW w:type="dxa" w:w="896"/>
            <w:tcBorders>
              <w:top w:val="nil"/>
              <w:left w:val="nil"/>
              <w:bottom w:val="nil"/>
              <w:right w:val="nil"/>
            </w:tcBorders>
          </w:tcPr>
          <w:p>
            <w:pPr>
              <w:pStyle w:val="IEEETableText"/>
              <w:keepNext/>
              <w:jc w:val="right"/>
            </w:pPr>
            <w:r>
              <w:rPr>
                <w:rFonts w:ascii="Times New Roman" w:hAnsi="Times New Roman" w:eastAsia="Times New Roman"/>
                <w:sz w:val="16"/>
              </w:rPr>
              <w:t>50</w:t>
            </w:r>
          </w:p>
        </w:tc>
        <w:tc>
          <w:tcPr>
            <w:tcW w:type="dxa" w:w="896"/>
            <w:tcBorders>
              <w:top w:val="nil"/>
              <w:left w:val="nil"/>
              <w:bottom w:val="nil"/>
              <w:right w:val="nil"/>
            </w:tcBorders>
          </w:tcPr>
          <w:p>
            <w:pPr>
              <w:pStyle w:val="IEEETableText"/>
              <w:keepNext/>
              <w:jc w:val="right"/>
            </w:pPr>
            <w:r>
              <w:rPr>
                <w:rFonts w:ascii="Times New Roman" w:hAnsi="Times New Roman" w:eastAsia="Times New Roman"/>
                <w:sz w:val="16"/>
              </w:rPr>
              <w:t>0.76</w:t>
            </w:r>
          </w:p>
        </w:tc>
        <w:tc>
          <w:tcPr>
            <w:tcW w:type="dxa" w:w="1140"/>
            <w:tcBorders>
              <w:top w:val="nil"/>
              <w:left w:val="nil"/>
              <w:bottom w:val="nil"/>
              <w:right w:val="nil"/>
            </w:tcBorders>
          </w:tcPr>
          <w:p>
            <w:pPr>
              <w:pStyle w:val="IEEETableText"/>
              <w:keepNext/>
              <w:jc w:val="left"/>
            </w:pPr>
            <w:r>
              <w:rPr>
                <w:rFonts w:ascii="Times New Roman" w:hAnsi="Times New Roman" w:eastAsia="Times New Roman"/>
                <w:sz w:val="16"/>
              </w:rPr>
              <w:t>human</w:t>
            </w:r>
          </w:p>
        </w:tc>
      </w:tr>
      <w:tr>
        <w:tc>
          <w:tcPr>
            <w:tcW w:type="dxa" w:w="1385"/>
            <w:tcBorders>
              <w:top w:val="nil"/>
              <w:left w:val="nil"/>
              <w:bottom w:val="nil"/>
              <w:right w:val="nil"/>
            </w:tcBorders>
          </w:tcPr>
          <w:p>
            <w:pPr>
              <w:pStyle w:val="IEEETableText"/>
              <w:keepNext/>
              <w:jc w:val="left"/>
            </w:pPr>
            <w:r>
              <w:rPr>
                <w:rFonts w:ascii="Times New Roman" w:hAnsi="Times New Roman" w:eastAsia="Times New Roman"/>
                <w:sz w:val="16"/>
              </w:rPr>
              <w:t>Corpus (QMSum)</w:t>
            </w:r>
          </w:p>
        </w:tc>
        <w:tc>
          <w:tcPr>
            <w:tcW w:type="dxa" w:w="652"/>
            <w:tcBorders>
              <w:top w:val="nil"/>
              <w:left w:val="nil"/>
              <w:bottom w:val="nil"/>
              <w:right w:val="nil"/>
            </w:tcBorders>
          </w:tcPr>
          <w:p>
            <w:pPr>
              <w:pStyle w:val="IEEETableText"/>
              <w:keepNext/>
              <w:jc w:val="right"/>
            </w:pPr>
            <w:r>
              <w:rPr>
                <w:rFonts w:ascii="Times New Roman" w:hAnsi="Times New Roman" w:eastAsia="Times New Roman"/>
                <w:sz w:val="16"/>
              </w:rPr>
              <w:t>227</w:t>
            </w:r>
          </w:p>
        </w:tc>
        <w:tc>
          <w:tcPr>
            <w:tcW w:type="dxa" w:w="896"/>
            <w:tcBorders>
              <w:top w:val="nil"/>
              <w:left w:val="nil"/>
              <w:bottom w:val="nil"/>
              <w:right w:val="nil"/>
            </w:tcBorders>
          </w:tcPr>
          <w:p>
            <w:pPr>
              <w:pStyle w:val="IEEETableText"/>
              <w:keepNext/>
              <w:jc w:val="right"/>
            </w:pPr>
            <w:r>
              <w:rPr>
                <w:rFonts w:ascii="Times New Roman" w:hAnsi="Times New Roman" w:eastAsia="Times New Roman"/>
                <w:sz w:val="16"/>
              </w:rPr>
              <w:t>4,930</w:t>
            </w:r>
          </w:p>
        </w:tc>
        <w:tc>
          <w:tcPr>
            <w:tcW w:type="dxa" w:w="896"/>
            <w:tcBorders>
              <w:top w:val="nil"/>
              <w:left w:val="nil"/>
              <w:bottom w:val="nil"/>
              <w:right w:val="nil"/>
            </w:tcBorders>
          </w:tcPr>
          <w:p>
            <w:pPr>
              <w:pStyle w:val="IEEETableText"/>
              <w:keepNext/>
              <w:jc w:val="right"/>
            </w:pPr>
            <w:r>
              <w:rPr>
                <w:rFonts w:ascii="Times New Roman" w:hAnsi="Times New Roman" w:eastAsia="Times New Roman"/>
                <w:sz w:val="16"/>
              </w:rPr>
              <w:t>0.93</w:t>
            </w:r>
          </w:p>
        </w:tc>
        <w:tc>
          <w:tcPr>
            <w:tcW w:type="dxa" w:w="1140"/>
            <w:tcBorders>
              <w:top w:val="nil"/>
              <w:left w:val="nil"/>
              <w:bottom w:val="nil"/>
              <w:right w:val="nil"/>
            </w:tcBorders>
          </w:tcPr>
          <w:p>
            <w:pPr>
              <w:pStyle w:val="IEEETableText"/>
              <w:keepNext/>
              <w:jc w:val="left"/>
            </w:pPr>
            <w:r>
              <w:rPr>
                <w:rFonts w:ascii="Times New Roman" w:hAnsi="Times New Roman" w:eastAsia="Times New Roman"/>
                <w:sz w:val="16"/>
              </w:rPr>
              <w:t>NLI @ 0.55</w:t>
            </w:r>
          </w:p>
        </w:tc>
      </w:tr>
      <w:tr>
        <w:tc>
          <w:tcPr>
            <w:tcW w:type="dxa" w:w="1385"/>
            <w:tcBorders>
              <w:top w:val="nil"/>
              <w:left w:val="nil"/>
              <w:bottom w:val="single" w:sz="4" w:color="000000"/>
              <w:right w:val="nil"/>
            </w:tcBorders>
          </w:tcPr>
          <w:p>
            <w:pPr>
              <w:pStyle w:val="IEEETableText"/>
              <w:keepNext/>
              <w:jc w:val="left"/>
            </w:pPr>
            <w:r>
              <w:rPr>
                <w:rFonts w:ascii="Times New Roman" w:hAnsi="Times New Roman" w:eastAsia="Times New Roman"/>
                <w:sz w:val="16"/>
              </w:rPr>
              <w:t>Synthetic</w:t>
            </w:r>
          </w:p>
        </w:tc>
        <w:tc>
          <w:tcPr>
            <w:tcW w:type="dxa" w:w="652"/>
            <w:tcBorders>
              <w:top w:val="nil"/>
              <w:left w:val="nil"/>
              <w:bottom w:val="single" w:sz="4" w:color="000000"/>
              <w:right w:val="nil"/>
            </w:tcBorders>
          </w:tcPr>
          <w:p>
            <w:pPr>
              <w:pStyle w:val="IEEETableText"/>
              <w:keepNext/>
              <w:jc w:val="right"/>
            </w:pPr>
            <w:r>
              <w:rPr>
                <w:rFonts w:ascii="Times New Roman" w:hAnsi="Times New Roman" w:eastAsia="Times New Roman"/>
                <w:sz w:val="16"/>
              </w:rPr>
              <w:t>139</w:t>
            </w:r>
          </w:p>
        </w:tc>
        <w:tc>
          <w:tcPr>
            <w:tcW w:type="dxa" w:w="896"/>
            <w:tcBorders>
              <w:top w:val="nil"/>
              <w:left w:val="nil"/>
              <w:bottom w:val="single" w:sz="4" w:color="000000"/>
              <w:right w:val="nil"/>
            </w:tcBorders>
          </w:tcPr>
          <w:p>
            <w:pPr>
              <w:pStyle w:val="IEEETableText"/>
              <w:keepNext/>
              <w:jc w:val="right"/>
            </w:pPr>
            <w:r>
              <w:rPr>
                <w:rFonts w:ascii="Times New Roman" w:hAnsi="Times New Roman" w:eastAsia="Times New Roman"/>
                <w:sz w:val="16"/>
              </w:rPr>
              <w:t>1,667</w:t>
            </w:r>
          </w:p>
        </w:tc>
        <w:tc>
          <w:tcPr>
            <w:tcW w:type="dxa" w:w="896"/>
            <w:tcBorders>
              <w:top w:val="nil"/>
              <w:left w:val="nil"/>
              <w:bottom w:val="single" w:sz="4" w:color="000000"/>
              <w:right w:val="nil"/>
            </w:tcBorders>
          </w:tcPr>
          <w:p>
            <w:pPr>
              <w:pStyle w:val="IEEETableText"/>
              <w:keepNext/>
              <w:jc w:val="right"/>
            </w:pPr>
            <w:r>
              <w:rPr>
                <w:rFonts w:ascii="Times New Roman" w:hAnsi="Times New Roman" w:eastAsia="Times New Roman"/>
                <w:sz w:val="16"/>
              </w:rPr>
              <w:t>0.59</w:t>
            </w:r>
          </w:p>
        </w:tc>
        <w:tc>
          <w:tcPr>
            <w:tcW w:type="dxa" w:w="1140"/>
            <w:tcBorders>
              <w:top w:val="nil"/>
              <w:left w:val="nil"/>
              <w:bottom w:val="single" w:sz="4" w:color="000000"/>
              <w:right w:val="nil"/>
            </w:tcBorders>
          </w:tcPr>
          <w:p>
            <w:pPr>
              <w:pStyle w:val="IEEETableText"/>
              <w:keepNext/>
              <w:jc w:val="left"/>
            </w:pPr>
            <w:r>
              <w:rPr>
                <w:rFonts w:ascii="Times New Roman" w:hAnsi="Times New Roman" w:eastAsia="Times New Roman"/>
                <w:sz w:val="16"/>
              </w:rPr>
              <w:t>constructed</w:t>
            </w:r>
          </w:p>
        </w:tc>
      </w:tr>
      <w:tr>
        <w:tc>
          <w:tcPr>
            <w:tcW w:type="dxa" w:w="1385"/>
            <w:tcBorders>
              <w:top w:val="nil"/>
              <w:left w:val="nil"/>
              <w:bottom w:val="single" w:sz="8" w:color="000000"/>
              <w:right w:val="nil"/>
            </w:tcBorders>
          </w:tcPr>
          <w:p>
            <w:pPr>
              <w:pStyle w:val="IEEETableText"/>
              <w:jc w:val="left"/>
            </w:pPr>
            <w:r>
              <w:rPr>
                <w:rFonts w:ascii="Times New Roman" w:hAnsi="Times New Roman" w:eastAsia="Times New Roman"/>
                <w:sz w:val="16"/>
              </w:rPr>
              <w:t>Total</w:t>
            </w:r>
          </w:p>
        </w:tc>
        <w:tc>
          <w:tcPr>
            <w:tcW w:type="dxa" w:w="652"/>
            <w:tcBorders>
              <w:top w:val="nil"/>
              <w:left w:val="nil"/>
              <w:bottom w:val="single" w:sz="8" w:color="000000"/>
              <w:right w:val="nil"/>
            </w:tcBorders>
          </w:tcPr>
          <w:p>
            <w:pPr>
              <w:pStyle w:val="IEEETableText"/>
              <w:jc w:val="right"/>
            </w:pPr>
            <w:r>
              <w:rPr>
                <w:rFonts w:ascii="Times New Roman" w:hAnsi="Times New Roman" w:eastAsia="Times New Roman"/>
                <w:sz w:val="16"/>
              </w:rPr>
              <w:t>371</w:t>
            </w:r>
          </w:p>
        </w:tc>
        <w:tc>
          <w:tcPr>
            <w:tcW w:type="dxa" w:w="896"/>
            <w:tcBorders>
              <w:top w:val="nil"/>
              <w:left w:val="nil"/>
              <w:bottom w:val="single" w:sz="8" w:color="000000"/>
              <w:right w:val="nil"/>
            </w:tcBorders>
          </w:tcPr>
          <w:p>
            <w:pPr>
              <w:pStyle w:val="IEEETableText"/>
              <w:jc w:val="right"/>
            </w:pPr>
            <w:r>
              <w:rPr>
                <w:rFonts w:ascii="Times New Roman" w:hAnsi="Times New Roman" w:eastAsia="Times New Roman"/>
                <w:sz w:val="16"/>
              </w:rPr>
              <w:t>6,647</w:t>
            </w:r>
          </w:p>
        </w:tc>
        <w:tc>
          <w:tcPr>
            <w:tcW w:type="dxa" w:w="896"/>
            <w:tcBorders>
              <w:top w:val="nil"/>
              <w:left w:val="nil"/>
              <w:bottom w:val="single" w:sz="8" w:color="000000"/>
              <w:right w:val="nil"/>
            </w:tcBorders>
          </w:tcPr>
          <w:p>
            <w:pPr>
              <w:pStyle w:val="IEEETableText"/>
              <w:jc w:val="right"/>
            </w:pPr>
            <w:r>
              <w:rPr>
                <w:rFonts w:ascii="Times New Roman" w:hAnsi="Times New Roman" w:eastAsia="Times New Roman"/>
                <w:sz w:val="16"/>
              </w:rPr>
              <w:t>0.84</w:t>
            </w:r>
          </w:p>
        </w:tc>
        <w:tc>
          <w:tcPr>
            <w:tcW w:type="dxa" w:w="1140"/>
            <w:tcBorders>
              <w:top w:val="nil"/>
              <w:left w:val="nil"/>
              <w:bottom w:val="single" w:sz="8" w:color="000000"/>
              <w:right w:val="nil"/>
            </w:tcBorders>
          </w:tcPr>
          <w:p>
            <w:pPr>
              <w:pStyle w:val="IEEETableText"/>
              <w:jc w:val="left"/>
            </w:pPr>
          </w:p>
        </w:tc>
      </w:tr>
    </w:tbl>
    <w:p>
      <w:pPr>
        <w:spacing w:before="0" w:after="120" w:line="240" w:lineRule="auto"/>
        <w:jc w:val="both"/>
      </w:pPr>
    </w:p>
    <w:p>
      <w:pPr>
        <w:spacing w:before="0" w:after="0" w:line="240" w:lineRule="auto"/>
        <w:ind w:firstLine="200"/>
        <w:jc w:val="both"/>
      </w:pPr>
      <w:r>
        <w:rPr>
          <w:rFonts w:ascii="Times New Roman" w:hAnsi="Times New Roman" w:eastAsia="Times New Roman"/>
          <w:b/>
          <w:sz w:val="20"/>
        </w:rPr>
        <w:t>Gold.</w:t>
      </w:r>
      <w:r>
        <w:rPr>
          <w:rFonts w:ascii="Times New Roman" w:hAnsi="Times New Roman" w:eastAsia="Times New Roman"/>
          <w:sz w:val="20"/>
        </w:rPr>
        <w:t xml:space="preserve"> Five QMSum product-design meetings, hand-labelled against transcript spans. They are the trust anchor and the only meetings with reasoning ground truth for completeness scoring; with </w:t>
      </w:r>
      <w:r>
        <w:rPr>
          <w:rFonts w:ascii="Times New Roman" w:hAnsi="Times New Roman" w:eastAsia="Times New Roman"/>
          <w:i/>
          <w:sz w:val="20"/>
        </w:rPr>
        <w:t>n</w:t>
      </w:r>
      <w:r>
        <w:rPr>
          <w:rFonts w:ascii="Times New Roman" w:hAnsi="Times New Roman" w:eastAsia="Times New Roman"/>
          <w:sz w:val="20"/>
        </w:rPr>
        <w:t>=5</w:t>
      </w:r>
      <w:r>
        <w:rPr>
          <w:rFonts w:ascii="Times New Roman" w:hAnsi="Times New Roman" w:eastAsia="Times New Roman"/>
          <w:sz w:val="20"/>
        </w:rPr>
        <w:t xml:space="preserve"> and one domain they are a fixture, not an accuracy estimate.</w:t>
      </w:r>
    </w:p>
    <w:p>
      <w:pPr>
        <w:spacing w:before="0" w:after="0" w:line="240" w:lineRule="auto"/>
        <w:ind w:firstLine="200"/>
        <w:jc w:val="both"/>
      </w:pPr>
      <w:r>
        <w:rPr>
          <w:rFonts w:ascii="Times New Roman" w:hAnsi="Times New Roman" w:eastAsia="Times New Roman"/>
          <w:b/>
          <w:sz w:val="20"/>
        </w:rPr>
        <w:t>Corpus.</w:t>
      </w:r>
      <w:r>
        <w:rPr>
          <w:rFonts w:ascii="Times New Roman" w:hAnsi="Times New Roman" w:eastAsia="Times New Roman"/>
          <w:sz w:val="20"/>
        </w:rPr>
        <w:t xml:space="preserve"> All other 227 QMSum meetings (Academic 59, Committee 36, Product 132), with summaries split into 4,930 sentence-level elements labelled by the NLI detector at threshold 0.55, chosen on the gold pairs. These are </w:t>
      </w:r>
      <w:r>
        <w:rPr>
          <w:rFonts w:ascii="Times New Roman" w:hAnsi="Times New Roman" w:eastAsia="Times New Roman"/>
          <w:i/>
          <w:sz w:val="20"/>
        </w:rPr>
        <w:t>silver</w:t>
      </w:r>
      <w:r>
        <w:rPr>
          <w:rFonts w:ascii="Times New Roman" w:hAnsi="Times New Roman" w:eastAsia="Times New Roman"/>
          <w:sz w:val="20"/>
        </w:rPr>
        <w:t xml:space="preserve"> labels: scoring the NLI detector against them measures self-consistency, not accuracy, and we exclude that comparison.</w:t>
      </w:r>
    </w:p>
    <w:p>
      <w:pPr>
        <w:spacing w:before="0" w:after="0" w:line="240" w:lineRule="auto"/>
        <w:ind w:firstLine="200"/>
        <w:jc w:val="both"/>
      </w:pPr>
      <w:r>
        <w:rPr>
          <w:rFonts w:ascii="Times New Roman" w:hAnsi="Times New Roman" w:eastAsia="Times New Roman"/>
          <w:b/>
          <w:sz w:val="20"/>
        </w:rPr>
        <w:t>Human spot-check of the silver labels.</w:t>
      </w:r>
      <w:r>
        <w:rPr>
          <w:rFonts w:ascii="Times New Roman" w:hAnsi="Times New Roman" w:eastAsia="Times New Roman"/>
          <w:sz w:val="20"/>
        </w:rPr>
        <w:t xml:space="preserve"> One author judged 52 elements from three randomly sampled corpus pairs (two Academic, one Committee), blind to the silver labels. The silver labels never missed a gap the annotator saw (gap recall 1.0), but 24 of their 46 predicted gaps were judged present in the summary, 23 of them as paraphrases (gap precision 0.478, present recall 0.20, balanced accuracy 0.60). The direction of the error is consistent across all three pairs, although 19 of the 24 disagreements come from the Committee pair. The silver labels therefore substantially overstate the gap rate, in line with NLI’s weakness on paraphrased content reported in Section V, and corpus-tier figures should be read as upper bounds on the gap rate.</w:t>
      </w:r>
    </w:p>
    <w:p>
      <w:pPr>
        <w:spacing w:before="0" w:after="0" w:line="240" w:lineRule="auto"/>
        <w:ind w:firstLine="200"/>
        <w:jc w:val="both"/>
      </w:pPr>
      <w:r>
        <w:rPr>
          <w:rFonts w:ascii="Times New Roman" w:hAnsi="Times New Roman" w:eastAsia="Times New Roman"/>
          <w:b/>
          <w:sz w:val="20"/>
        </w:rPr>
        <w:t>Synthetic.</w:t>
      </w:r>
      <w:r>
        <w:rPr>
          <w:rFonts w:ascii="Times New Roman" w:hAnsi="Times New Roman" w:eastAsia="Times New Roman"/>
          <w:sz w:val="20"/>
        </w:rPr>
        <w:t xml:space="preserve"> 139 pairs generated by Mistral 7B across 79 topics, covering 8 organisational domains and 10 decision archetypes. Labels are </w:t>
      </w:r>
      <w:r>
        <w:rPr>
          <w:rFonts w:ascii="Times New Roman" w:hAnsi="Times New Roman" w:eastAsia="Times New Roman"/>
          <w:i/>
          <w:sz w:val="20"/>
        </w:rPr>
        <w:t>constructed</w:t>
      </w:r>
      <w:r>
        <w:rPr>
          <w:rFonts w:ascii="Times New Roman" w:hAnsi="Times New Roman" w:eastAsia="Times New Roman"/>
          <w:sz w:val="20"/>
        </w:rPr>
        <w:t>: each element’s fate (omitted, verbatim, paraphrased) is fixed before either text is written, followed by an automated leak check. This is the only tier with a near-balanced gap rate, which is why detector comparisons are made on it. Synthetic transcripts are cleaner than real meetings, which we treat as a limitation.</w:t>
      </w:r>
    </w:p>
    <w:p>
      <w:pPr>
        <w:keepNext/>
        <w:spacing w:before="200" w:after="80" w:line="240" w:lineRule="auto"/>
        <w:jc w:val="center"/>
      </w:pPr>
      <w:r>
        <w:rPr>
          <w:rFonts w:ascii="Times New Roman" w:hAnsi="Times New Roman" w:eastAsia="Times New Roman"/>
          <w:smallCaps/>
          <w:sz w:val="20"/>
        </w:rPr>
        <w:t xml:space="preserve">V. </w:t>
      </w:r>
      <w:r>
        <w:rPr>
          <w:rFonts w:ascii="Times New Roman" w:hAnsi="Times New Roman" w:eastAsia="Times New Roman"/>
          <w:smallCaps/>
          <w:sz w:val="20"/>
        </w:rPr>
        <w:t>Results: Gap Detection</w:t>
      </w:r>
    </w:p>
    <w:p>
      <w:pPr>
        <w:keepNext/>
        <w:spacing w:before="160" w:after="0" w:line="240" w:lineRule="auto"/>
        <w:jc w:val="center"/>
      </w:pPr>
      <w:r>
        <w:rPr>
          <w:rFonts w:ascii="Times New Roman" w:hAnsi="Times New Roman" w:eastAsia="Times New Roman"/>
          <w:smallCaps/>
          <w:sz w:val="16"/>
        </w:rPr>
        <w:t>TABLE II</w:t>
      </w:r>
    </w:p>
    <w:p>
      <w:pPr>
        <w:keepNext/>
        <w:spacing w:before="0" w:after="80" w:line="240" w:lineRule="auto"/>
        <w:jc w:val="center"/>
      </w:pPr>
      <w:r>
        <w:rPr>
          <w:rFonts w:ascii="Times New Roman" w:hAnsi="Times New Roman" w:eastAsia="Times New Roman"/>
          <w:smallCaps/>
          <w:sz w:val="16"/>
        </w:rPr>
        <w:t>Gap detection at threshold 0.55. The NLI-labelled corpus tier is omitted for NLI (circular). Bal. acc. = balanced accuracy.</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1740"/>
        <w:gridCol w:w="1740"/>
        <w:gridCol w:w="1740"/>
        <w:gridCol w:w="1740"/>
        <w:gridCol w:w="1740"/>
        <w:gridCol w:w="1740"/>
      </w:tblGrid>
      <w:tr>
        <w:tc>
          <w:tcPr>
            <w:tcW w:type="dxa" w:w="931"/>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Detector</w:t>
            </w:r>
          </w:p>
        </w:tc>
        <w:tc>
          <w:tcPr>
            <w:tcW w:type="dxa" w:w="931"/>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Tier</w:t>
            </w:r>
          </w:p>
        </w:tc>
        <w:tc>
          <w:tcPr>
            <w:tcW w:type="dxa" w:w="621"/>
            <w:tcBorders>
              <w:top w:val="single" w:sz="8" w:color="000000"/>
              <w:left w:val="nil"/>
              <w:bottom w:val="single" w:sz="4" w:color="000000"/>
              <w:right w:val="nil"/>
            </w:tcBorders>
          </w:tcPr>
          <w:p>
            <w:pPr>
              <w:pStyle w:val="IEEETableText"/>
              <w:keepNext/>
              <w:jc w:val="right"/>
            </w:pPr>
            <w:r>
              <w:rPr>
                <w:rFonts w:ascii="Times New Roman" w:hAnsi="Times New Roman" w:eastAsia="Times New Roman"/>
                <w:i/>
                <w:sz w:val="16"/>
              </w:rPr>
              <w:t>n</w:t>
            </w:r>
          </w:p>
        </w:tc>
        <w:tc>
          <w:tcPr>
            <w:tcW w:type="dxa" w:w="699"/>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Gap F1</w:t>
            </w:r>
          </w:p>
        </w:tc>
        <w:tc>
          <w:tcPr>
            <w:tcW w:type="dxa" w:w="931"/>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Bal. acc.</w:t>
            </w:r>
          </w:p>
        </w:tc>
        <w:tc>
          <w:tcPr>
            <w:tcW w:type="dxa" w:w="854"/>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Pres. F1</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NLI</w:t>
            </w:r>
          </w:p>
        </w:tc>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gold</w:t>
            </w: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50</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0.861</w:t>
            </w:r>
          </w:p>
        </w:tc>
        <w:tc>
          <w:tcPr>
            <w:tcW w:type="dxa" w:w="931"/>
            <w:tcBorders>
              <w:top w:val="nil"/>
              <w:left w:val="nil"/>
              <w:bottom w:val="nil"/>
              <w:right w:val="nil"/>
            </w:tcBorders>
          </w:tcPr>
          <w:p>
            <w:pPr>
              <w:pStyle w:val="IEEETableText"/>
              <w:keepNext/>
              <w:jc w:val="right"/>
            </w:pPr>
            <w:r>
              <w:rPr>
                <w:rFonts w:ascii="Times New Roman" w:hAnsi="Times New Roman" w:eastAsia="Times New Roman"/>
                <w:sz w:val="16"/>
              </w:rPr>
              <w:t>0.656</w:t>
            </w:r>
          </w:p>
        </w:tc>
        <w:tc>
          <w:tcPr>
            <w:tcW w:type="dxa" w:w="854"/>
            <w:tcBorders>
              <w:top w:val="nil"/>
              <w:left w:val="nil"/>
              <w:bottom w:val="nil"/>
              <w:right w:val="nil"/>
            </w:tcBorders>
          </w:tcPr>
          <w:p>
            <w:pPr>
              <w:pStyle w:val="IEEETableText"/>
              <w:keepNext/>
              <w:jc w:val="right"/>
            </w:pPr>
            <w:r>
              <w:rPr>
                <w:rFonts w:ascii="Times New Roman" w:hAnsi="Times New Roman" w:eastAsia="Times New Roman"/>
                <w:sz w:val="16"/>
              </w:rPr>
              <w:t>0.476</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NLI</w:t>
            </w:r>
          </w:p>
        </w:tc>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synthetic</w:t>
            </w: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1,667</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0.771</w:t>
            </w:r>
          </w:p>
        </w:tc>
        <w:tc>
          <w:tcPr>
            <w:tcW w:type="dxa" w:w="931"/>
            <w:tcBorders>
              <w:top w:val="nil"/>
              <w:left w:val="nil"/>
              <w:bottom w:val="nil"/>
              <w:right w:val="nil"/>
            </w:tcBorders>
          </w:tcPr>
          <w:p>
            <w:pPr>
              <w:pStyle w:val="IEEETableText"/>
              <w:keepNext/>
              <w:jc w:val="right"/>
            </w:pPr>
            <w:r>
              <w:rPr>
                <w:rFonts w:ascii="Times New Roman" w:hAnsi="Times New Roman" w:eastAsia="Times New Roman"/>
                <w:sz w:val="16"/>
              </w:rPr>
              <w:t>0.629</w:t>
            </w:r>
          </w:p>
        </w:tc>
        <w:tc>
          <w:tcPr>
            <w:tcW w:type="dxa" w:w="854"/>
            <w:tcBorders>
              <w:top w:val="nil"/>
              <w:left w:val="nil"/>
              <w:bottom w:val="nil"/>
              <w:right w:val="nil"/>
            </w:tcBorders>
          </w:tcPr>
          <w:p>
            <w:pPr>
              <w:pStyle w:val="IEEETableText"/>
              <w:keepNext/>
              <w:jc w:val="right"/>
            </w:pPr>
            <w:r>
              <w:rPr>
                <w:rFonts w:ascii="Times New Roman" w:hAnsi="Times New Roman" w:eastAsia="Times New Roman"/>
                <w:sz w:val="16"/>
              </w:rPr>
              <w:t>0.468</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Lexical</w:t>
            </w:r>
          </w:p>
        </w:tc>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gold</w:t>
            </w: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50</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0.884</w:t>
            </w:r>
          </w:p>
        </w:tc>
        <w:tc>
          <w:tcPr>
            <w:tcW w:type="dxa" w:w="931"/>
            <w:tcBorders>
              <w:top w:val="nil"/>
              <w:left w:val="nil"/>
              <w:bottom w:val="nil"/>
              <w:right w:val="nil"/>
            </w:tcBorders>
          </w:tcPr>
          <w:p>
            <w:pPr>
              <w:pStyle w:val="IEEETableText"/>
              <w:keepNext/>
              <w:jc w:val="right"/>
            </w:pPr>
            <w:r>
              <w:rPr>
                <w:rFonts w:ascii="Times New Roman" w:hAnsi="Times New Roman" w:eastAsia="Times New Roman"/>
                <w:sz w:val="16"/>
              </w:rPr>
              <w:t>0.583</w:t>
            </w:r>
          </w:p>
        </w:tc>
        <w:tc>
          <w:tcPr>
            <w:tcW w:type="dxa" w:w="854"/>
            <w:tcBorders>
              <w:top w:val="nil"/>
              <w:left w:val="nil"/>
              <w:bottom w:val="nil"/>
              <w:right w:val="nil"/>
            </w:tcBorders>
          </w:tcPr>
          <w:p>
            <w:pPr>
              <w:pStyle w:val="IEEETableText"/>
              <w:keepNext/>
              <w:jc w:val="right"/>
            </w:pPr>
            <w:r>
              <w:rPr>
                <w:rFonts w:ascii="Times New Roman" w:hAnsi="Times New Roman" w:eastAsia="Times New Roman"/>
                <w:sz w:val="16"/>
              </w:rPr>
              <w:t>0.286</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Lexical</w:t>
            </w:r>
          </w:p>
        </w:tc>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synthetic</w:t>
            </w: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1,667</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0.857</w:t>
            </w:r>
          </w:p>
        </w:tc>
        <w:tc>
          <w:tcPr>
            <w:tcW w:type="dxa" w:w="931"/>
            <w:tcBorders>
              <w:top w:val="nil"/>
              <w:left w:val="nil"/>
              <w:bottom w:val="nil"/>
              <w:right w:val="nil"/>
            </w:tcBorders>
          </w:tcPr>
          <w:p>
            <w:pPr>
              <w:pStyle w:val="IEEETableText"/>
              <w:keepNext/>
              <w:jc w:val="right"/>
            </w:pPr>
            <w:r>
              <w:rPr>
                <w:rFonts w:ascii="Times New Roman" w:hAnsi="Times New Roman" w:eastAsia="Times New Roman"/>
                <w:b/>
                <w:sz w:val="16"/>
              </w:rPr>
              <w:t>0.775</w:t>
            </w:r>
          </w:p>
        </w:tc>
        <w:tc>
          <w:tcPr>
            <w:tcW w:type="dxa" w:w="854"/>
            <w:tcBorders>
              <w:top w:val="nil"/>
              <w:left w:val="nil"/>
              <w:bottom w:val="nil"/>
              <w:right w:val="nil"/>
            </w:tcBorders>
          </w:tcPr>
          <w:p>
            <w:pPr>
              <w:pStyle w:val="IEEETableText"/>
              <w:keepNext/>
              <w:jc w:val="right"/>
            </w:pPr>
            <w:r>
              <w:rPr>
                <w:rFonts w:ascii="Times New Roman" w:hAnsi="Times New Roman" w:eastAsia="Times New Roman"/>
                <w:b/>
                <w:sz w:val="16"/>
              </w:rPr>
              <w:t>0.715</w:t>
            </w:r>
          </w:p>
        </w:tc>
      </w:tr>
      <w:tr>
        <w:tc>
          <w:tcPr>
            <w:tcW w:type="dxa" w:w="931"/>
            <w:tcBorders>
              <w:top w:val="nil"/>
              <w:left w:val="nil"/>
              <w:bottom w:val="single" w:sz="4" w:color="000000"/>
              <w:right w:val="nil"/>
            </w:tcBorders>
          </w:tcPr>
          <w:p>
            <w:pPr>
              <w:pStyle w:val="IEEETableText"/>
              <w:keepNext/>
              <w:jc w:val="left"/>
            </w:pPr>
            <w:r>
              <w:rPr>
                <w:rFonts w:ascii="Times New Roman" w:hAnsi="Times New Roman" w:eastAsia="Times New Roman"/>
                <w:sz w:val="16"/>
              </w:rPr>
              <w:t>Lexical</w:t>
            </w:r>
          </w:p>
        </w:tc>
        <w:tc>
          <w:tcPr>
            <w:tcW w:type="dxa" w:w="931"/>
            <w:tcBorders>
              <w:top w:val="nil"/>
              <w:left w:val="nil"/>
              <w:bottom w:val="single" w:sz="4" w:color="000000"/>
              <w:right w:val="nil"/>
            </w:tcBorders>
          </w:tcPr>
          <w:p>
            <w:pPr>
              <w:pStyle w:val="IEEETableText"/>
              <w:keepNext/>
              <w:jc w:val="left"/>
            </w:pPr>
            <w:r>
              <w:rPr>
                <w:rFonts w:ascii="Times New Roman" w:hAnsi="Times New Roman" w:eastAsia="Times New Roman"/>
                <w:sz w:val="16"/>
              </w:rPr>
              <w:t>corpus</w:t>
            </w:r>
          </w:p>
        </w:tc>
        <w:tc>
          <w:tcPr>
            <w:tcW w:type="dxa" w:w="621"/>
            <w:tcBorders>
              <w:top w:val="nil"/>
              <w:left w:val="nil"/>
              <w:bottom w:val="single" w:sz="4" w:color="000000"/>
              <w:right w:val="nil"/>
            </w:tcBorders>
          </w:tcPr>
          <w:p>
            <w:pPr>
              <w:pStyle w:val="IEEETableText"/>
              <w:keepNext/>
              <w:jc w:val="right"/>
            </w:pPr>
            <w:r>
              <w:rPr>
                <w:rFonts w:ascii="Times New Roman" w:hAnsi="Times New Roman" w:eastAsia="Times New Roman"/>
                <w:sz w:val="16"/>
              </w:rPr>
              <w:t>4,930</w:t>
            </w:r>
          </w:p>
        </w:tc>
        <w:tc>
          <w:tcPr>
            <w:tcW w:type="dxa" w:w="699"/>
            <w:tcBorders>
              <w:top w:val="nil"/>
              <w:left w:val="nil"/>
              <w:bottom w:val="single" w:sz="4" w:color="000000"/>
              <w:right w:val="nil"/>
            </w:tcBorders>
          </w:tcPr>
          <w:p>
            <w:pPr>
              <w:pStyle w:val="IEEETableText"/>
              <w:keepNext/>
              <w:jc w:val="right"/>
            </w:pPr>
            <w:r>
              <w:rPr>
                <w:rFonts w:ascii="Times New Roman" w:hAnsi="Times New Roman" w:eastAsia="Times New Roman"/>
                <w:sz w:val="16"/>
              </w:rPr>
              <w:t>0.970</w:t>
            </w:r>
          </w:p>
        </w:tc>
        <w:tc>
          <w:tcPr>
            <w:tcW w:type="dxa" w:w="931"/>
            <w:tcBorders>
              <w:top w:val="nil"/>
              <w:left w:val="nil"/>
              <w:bottom w:val="single" w:sz="4" w:color="000000"/>
              <w:right w:val="nil"/>
            </w:tcBorders>
          </w:tcPr>
          <w:p>
            <w:pPr>
              <w:pStyle w:val="IEEETableText"/>
              <w:keepNext/>
              <w:jc w:val="right"/>
            </w:pPr>
            <w:r>
              <w:rPr>
                <w:rFonts w:ascii="Times New Roman" w:hAnsi="Times New Roman" w:eastAsia="Times New Roman"/>
                <w:sz w:val="16"/>
              </w:rPr>
              <w:t>0.669</w:t>
            </w:r>
          </w:p>
        </w:tc>
        <w:tc>
          <w:tcPr>
            <w:tcW w:type="dxa" w:w="854"/>
            <w:tcBorders>
              <w:top w:val="nil"/>
              <w:left w:val="nil"/>
              <w:bottom w:val="single" w:sz="4" w:color="000000"/>
              <w:right w:val="nil"/>
            </w:tcBorders>
          </w:tcPr>
          <w:p>
            <w:pPr>
              <w:pStyle w:val="IEEETableText"/>
              <w:keepNext/>
              <w:jc w:val="right"/>
            </w:pPr>
            <w:r>
              <w:rPr>
                <w:rFonts w:ascii="Times New Roman" w:hAnsi="Times New Roman" w:eastAsia="Times New Roman"/>
                <w:sz w:val="16"/>
              </w:rPr>
              <w:t>0.457</w:t>
            </w:r>
          </w:p>
        </w:tc>
      </w:tr>
      <w:tr>
        <w:tc>
          <w:tcPr>
            <w:tcW w:type="dxa" w:w="854"/>
            <w:gridSpan w:val="6"/>
            <w:tcBorders>
              <w:top w:val="nil"/>
              <w:left w:val="nil"/>
              <w:bottom w:val="nil"/>
              <w:right w:val="nil"/>
            </w:tcBorders>
          </w:tcPr>
          <w:p>
            <w:pPr>
              <w:pStyle w:val="IEEETableText"/>
              <w:keepNext/>
              <w:jc w:val="left"/>
            </w:pPr>
            <w:r>
              <w:rPr>
                <w:rFonts w:ascii="Times New Roman" w:hAnsi="Times New Roman" w:eastAsia="Times New Roman"/>
                <w:i/>
                <w:sz w:val="16"/>
              </w:rPr>
              <w:t>Same stratified sample, gold + synthetic (</w:t>
            </w:r>
            <w:r>
              <w:rPr>
                <w:rFonts w:ascii="Times New Roman" w:hAnsi="Times New Roman" w:eastAsia="Times New Roman"/>
                <w:i/>
                <w:sz w:val="16"/>
              </w:rPr>
              <w:t>n</w:t>
            </w:r>
            <w:r>
              <w:rPr>
                <w:rFonts w:ascii="Times New Roman" w:hAnsi="Times New Roman" w:eastAsia="Times New Roman"/>
                <w:i/>
                <w:sz w:val="16"/>
              </w:rPr>
              <w:t>=200</w:t>
            </w:r>
            <w:r>
              <w:rPr>
                <w:rFonts w:ascii="Times New Roman" w:hAnsi="Times New Roman" w:eastAsia="Times New Roman"/>
                <w:i/>
                <w:sz w:val="16"/>
              </w:rPr>
              <w:t>)</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NLI</w:t>
            </w:r>
          </w:p>
        </w:tc>
        <w:tc>
          <w:tcPr>
            <w:tcW w:type="dxa" w:w="931"/>
            <w:tcBorders>
              <w:top w:val="nil"/>
              <w:left w:val="nil"/>
              <w:bottom w:val="nil"/>
              <w:right w:val="nil"/>
            </w:tcBorders>
          </w:tcPr>
          <w:p>
            <w:pPr>
              <w:pStyle w:val="IEEETableText"/>
              <w:keepNext/>
              <w:jc w:val="left"/>
            </w:pP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200</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w:t>
            </w:r>
          </w:p>
        </w:tc>
        <w:tc>
          <w:tcPr>
            <w:tcW w:type="dxa" w:w="931"/>
            <w:tcBorders>
              <w:top w:val="nil"/>
              <w:left w:val="nil"/>
              <w:bottom w:val="nil"/>
              <w:right w:val="nil"/>
            </w:tcBorders>
          </w:tcPr>
          <w:p>
            <w:pPr>
              <w:pStyle w:val="IEEETableText"/>
              <w:keepNext/>
              <w:jc w:val="right"/>
            </w:pPr>
            <w:r>
              <w:rPr>
                <w:rFonts w:ascii="Times New Roman" w:hAnsi="Times New Roman" w:eastAsia="Times New Roman"/>
                <w:sz w:val="16"/>
              </w:rPr>
              <w:t>0.611</w:t>
            </w:r>
          </w:p>
        </w:tc>
        <w:tc>
          <w:tcPr>
            <w:tcW w:type="dxa" w:w="854"/>
            <w:tcBorders>
              <w:top w:val="nil"/>
              <w:left w:val="nil"/>
              <w:bottom w:val="nil"/>
              <w:right w:val="nil"/>
            </w:tcBorders>
          </w:tcPr>
          <w:p>
            <w:pPr>
              <w:pStyle w:val="IEEETableText"/>
              <w:keepNext/>
              <w:jc w:val="right"/>
            </w:pPr>
            <w:r>
              <w:rPr>
                <w:rFonts w:ascii="Times New Roman" w:hAnsi="Times New Roman" w:eastAsia="Times New Roman"/>
                <w:sz w:val="16"/>
              </w:rPr>
              <w:t>0.432</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Lexical</w:t>
            </w:r>
          </w:p>
        </w:tc>
        <w:tc>
          <w:tcPr>
            <w:tcW w:type="dxa" w:w="931"/>
            <w:tcBorders>
              <w:top w:val="nil"/>
              <w:left w:val="nil"/>
              <w:bottom w:val="nil"/>
              <w:right w:val="nil"/>
            </w:tcBorders>
          </w:tcPr>
          <w:p>
            <w:pPr>
              <w:pStyle w:val="IEEETableText"/>
              <w:keepNext/>
              <w:jc w:val="left"/>
            </w:pP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200</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w:t>
            </w:r>
          </w:p>
        </w:tc>
        <w:tc>
          <w:tcPr>
            <w:tcW w:type="dxa" w:w="931"/>
            <w:tcBorders>
              <w:top w:val="nil"/>
              <w:left w:val="nil"/>
              <w:bottom w:val="nil"/>
              <w:right w:val="nil"/>
            </w:tcBorders>
          </w:tcPr>
          <w:p>
            <w:pPr>
              <w:pStyle w:val="IEEETableText"/>
              <w:keepNext/>
              <w:jc w:val="right"/>
            </w:pPr>
            <w:r>
              <w:rPr>
                <w:rFonts w:ascii="Times New Roman" w:hAnsi="Times New Roman" w:eastAsia="Times New Roman"/>
                <w:b/>
                <w:sz w:val="16"/>
              </w:rPr>
              <w:t>0.728</w:t>
            </w:r>
          </w:p>
        </w:tc>
        <w:tc>
          <w:tcPr>
            <w:tcW w:type="dxa" w:w="854"/>
            <w:tcBorders>
              <w:top w:val="nil"/>
              <w:left w:val="nil"/>
              <w:bottom w:val="nil"/>
              <w:right w:val="nil"/>
            </w:tcBorders>
          </w:tcPr>
          <w:p>
            <w:pPr>
              <w:pStyle w:val="IEEETableText"/>
              <w:keepNext/>
              <w:jc w:val="right"/>
            </w:pPr>
            <w:r>
              <w:rPr>
                <w:rFonts w:ascii="Times New Roman" w:hAnsi="Times New Roman" w:eastAsia="Times New Roman"/>
                <w:b/>
                <w:sz w:val="16"/>
              </w:rPr>
              <w:t>0.637</w:t>
            </w:r>
          </w:p>
        </w:tc>
      </w:tr>
      <w:tr>
        <w:tc>
          <w:tcPr>
            <w:tcW w:type="dxa" w:w="931"/>
            <w:tcBorders>
              <w:top w:val="nil"/>
              <w:left w:val="nil"/>
              <w:bottom w:val="nil"/>
              <w:right w:val="nil"/>
            </w:tcBorders>
          </w:tcPr>
          <w:p>
            <w:pPr>
              <w:pStyle w:val="IEEETableText"/>
              <w:keepNext/>
              <w:jc w:val="left"/>
            </w:pPr>
            <w:r>
              <w:rPr>
                <w:rFonts w:ascii="Times New Roman" w:hAnsi="Times New Roman" w:eastAsia="Times New Roman"/>
                <w:sz w:val="16"/>
              </w:rPr>
              <w:t>LLM judge</w:t>
            </w:r>
          </w:p>
        </w:tc>
        <w:tc>
          <w:tcPr>
            <w:tcW w:type="dxa" w:w="931"/>
            <w:tcBorders>
              <w:top w:val="nil"/>
              <w:left w:val="nil"/>
              <w:bottom w:val="nil"/>
              <w:right w:val="nil"/>
            </w:tcBorders>
          </w:tcPr>
          <w:p>
            <w:pPr>
              <w:pStyle w:val="IEEETableText"/>
              <w:keepNext/>
              <w:jc w:val="left"/>
            </w:pPr>
          </w:p>
        </w:tc>
        <w:tc>
          <w:tcPr>
            <w:tcW w:type="dxa" w:w="621"/>
            <w:tcBorders>
              <w:top w:val="nil"/>
              <w:left w:val="nil"/>
              <w:bottom w:val="nil"/>
              <w:right w:val="nil"/>
            </w:tcBorders>
          </w:tcPr>
          <w:p>
            <w:pPr>
              <w:pStyle w:val="IEEETableText"/>
              <w:keepNext/>
              <w:jc w:val="right"/>
            </w:pPr>
            <w:r>
              <w:rPr>
                <w:rFonts w:ascii="Times New Roman" w:hAnsi="Times New Roman" w:eastAsia="Times New Roman"/>
                <w:sz w:val="16"/>
              </w:rPr>
              <w:t>200</w:t>
            </w:r>
          </w:p>
        </w:tc>
        <w:tc>
          <w:tcPr>
            <w:tcW w:type="dxa" w:w="699"/>
            <w:tcBorders>
              <w:top w:val="nil"/>
              <w:left w:val="nil"/>
              <w:bottom w:val="nil"/>
              <w:right w:val="nil"/>
            </w:tcBorders>
          </w:tcPr>
          <w:p>
            <w:pPr>
              <w:pStyle w:val="IEEETableText"/>
              <w:keepNext/>
              <w:jc w:val="right"/>
            </w:pPr>
            <w:r>
              <w:rPr>
                <w:rFonts w:ascii="Times New Roman" w:hAnsi="Times New Roman" w:eastAsia="Times New Roman"/>
                <w:sz w:val="16"/>
              </w:rPr>
              <w:t>–</w:t>
            </w:r>
          </w:p>
        </w:tc>
        <w:tc>
          <w:tcPr>
            <w:tcW w:type="dxa" w:w="931"/>
            <w:tcBorders>
              <w:top w:val="nil"/>
              <w:left w:val="nil"/>
              <w:bottom w:val="nil"/>
              <w:right w:val="nil"/>
            </w:tcBorders>
          </w:tcPr>
          <w:p>
            <w:pPr>
              <w:pStyle w:val="IEEETableText"/>
              <w:keepNext/>
              <w:jc w:val="right"/>
            </w:pPr>
            <w:r>
              <w:rPr>
                <w:rFonts w:ascii="Times New Roman" w:hAnsi="Times New Roman" w:eastAsia="Times New Roman"/>
                <w:sz w:val="16"/>
              </w:rPr>
              <w:t>0.492</w:t>
            </w:r>
          </w:p>
        </w:tc>
        <w:tc>
          <w:tcPr>
            <w:tcW w:type="dxa" w:w="854"/>
            <w:tcBorders>
              <w:top w:val="nil"/>
              <w:left w:val="nil"/>
              <w:bottom w:val="nil"/>
              <w:right w:val="nil"/>
            </w:tcBorders>
          </w:tcPr>
          <w:p>
            <w:pPr>
              <w:pStyle w:val="IEEETableText"/>
              <w:keepNext/>
              <w:jc w:val="right"/>
            </w:pPr>
            <w:r>
              <w:rPr>
                <w:rFonts w:ascii="Times New Roman" w:hAnsi="Times New Roman" w:eastAsia="Times New Roman"/>
                <w:sz w:val="16"/>
              </w:rPr>
              <w:t>0.596</w:t>
            </w:r>
          </w:p>
        </w:tc>
      </w:tr>
      <w:tr>
        <w:tc>
          <w:tcPr>
            <w:tcW w:type="dxa" w:w="931"/>
            <w:tcBorders>
              <w:top w:val="nil"/>
              <w:left w:val="nil"/>
              <w:bottom w:val="single" w:sz="8" w:color="000000"/>
              <w:right w:val="nil"/>
            </w:tcBorders>
          </w:tcPr>
          <w:p>
            <w:pPr>
              <w:pStyle w:val="IEEETableText"/>
              <w:jc w:val="left"/>
            </w:pPr>
            <w:r>
              <w:rPr>
                <w:rFonts w:ascii="Times New Roman" w:hAnsi="Times New Roman" w:eastAsia="Times New Roman"/>
                <w:sz w:val="16"/>
              </w:rPr>
              <w:t>Ensemble</w:t>
            </w:r>
          </w:p>
        </w:tc>
        <w:tc>
          <w:tcPr>
            <w:tcW w:type="dxa" w:w="931"/>
            <w:tcBorders>
              <w:top w:val="nil"/>
              <w:left w:val="nil"/>
              <w:bottom w:val="single" w:sz="8" w:color="000000"/>
              <w:right w:val="nil"/>
            </w:tcBorders>
          </w:tcPr>
          <w:p>
            <w:pPr>
              <w:pStyle w:val="IEEETableText"/>
              <w:jc w:val="left"/>
            </w:pPr>
          </w:p>
        </w:tc>
        <w:tc>
          <w:tcPr>
            <w:tcW w:type="dxa" w:w="621"/>
            <w:tcBorders>
              <w:top w:val="nil"/>
              <w:left w:val="nil"/>
              <w:bottom w:val="single" w:sz="8" w:color="000000"/>
              <w:right w:val="nil"/>
            </w:tcBorders>
          </w:tcPr>
          <w:p>
            <w:pPr>
              <w:pStyle w:val="IEEETableText"/>
              <w:jc w:val="right"/>
            </w:pPr>
            <w:r>
              <w:rPr>
                <w:rFonts w:ascii="Times New Roman" w:hAnsi="Times New Roman" w:eastAsia="Times New Roman"/>
                <w:sz w:val="16"/>
              </w:rPr>
              <w:t>200</w:t>
            </w:r>
          </w:p>
        </w:tc>
        <w:tc>
          <w:tcPr>
            <w:tcW w:type="dxa" w:w="699"/>
            <w:tcBorders>
              <w:top w:val="nil"/>
              <w:left w:val="nil"/>
              <w:bottom w:val="single" w:sz="8" w:color="000000"/>
              <w:right w:val="nil"/>
            </w:tcBorders>
          </w:tcPr>
          <w:p>
            <w:pPr>
              <w:pStyle w:val="IEEETableText"/>
              <w:jc w:val="right"/>
            </w:pPr>
            <w:r>
              <w:rPr>
                <w:rFonts w:ascii="Times New Roman" w:hAnsi="Times New Roman" w:eastAsia="Times New Roman"/>
                <w:sz w:val="16"/>
              </w:rPr>
              <w:t>–</w:t>
            </w:r>
          </w:p>
        </w:tc>
        <w:tc>
          <w:tcPr>
            <w:tcW w:type="dxa" w:w="931"/>
            <w:tcBorders>
              <w:top w:val="nil"/>
              <w:left w:val="nil"/>
              <w:bottom w:val="single" w:sz="8" w:color="000000"/>
              <w:right w:val="nil"/>
            </w:tcBorders>
          </w:tcPr>
          <w:p>
            <w:pPr>
              <w:pStyle w:val="IEEETableText"/>
              <w:jc w:val="right"/>
            </w:pPr>
            <w:r>
              <w:rPr>
                <w:rFonts w:ascii="Times New Roman" w:hAnsi="Times New Roman" w:eastAsia="Times New Roman"/>
                <w:sz w:val="16"/>
              </w:rPr>
              <w:t>0.521</w:t>
            </w:r>
          </w:p>
        </w:tc>
        <w:tc>
          <w:tcPr>
            <w:tcW w:type="dxa" w:w="854"/>
            <w:tcBorders>
              <w:top w:val="nil"/>
              <w:left w:val="nil"/>
              <w:bottom w:val="single" w:sz="8" w:color="000000"/>
              <w:right w:val="nil"/>
            </w:tcBorders>
          </w:tcPr>
          <w:p>
            <w:pPr>
              <w:pStyle w:val="IEEETableText"/>
              <w:jc w:val="right"/>
            </w:pPr>
            <w:r>
              <w:rPr>
                <w:rFonts w:ascii="Times New Roman" w:hAnsi="Times New Roman" w:eastAsia="Times New Roman"/>
                <w:sz w:val="16"/>
              </w:rPr>
              <w:t>0.624</w:t>
            </w:r>
          </w:p>
        </w:tc>
      </w:tr>
    </w:tbl>
    <w:p>
      <w:pPr>
        <w:spacing w:before="0" w:after="120" w:line="240" w:lineRule="auto"/>
        <w:jc w:val="both"/>
      </w:pPr>
    </w:p>
    <w:p>
      <w:pPr>
        <w:spacing w:before="0" w:after="0" w:line="240" w:lineRule="auto"/>
        <w:ind w:firstLine="200"/>
        <w:jc w:val="both"/>
      </w:pPr>
      <w:r>
        <w:rPr>
          <w:rFonts w:ascii="Times New Roman" w:hAnsi="Times New Roman" w:eastAsia="Times New Roman"/>
          <w:sz w:val="20"/>
        </w:rPr>
        <w:t>Table II reports the comparison. On the balanced synthetic tier, the lexical detector outperforms NLI on every honest metric (balanced accuracy 0.775 vs. 0.629; present F1 0.715 vs. 0.468). The same ordering holds when all four detectors are scored on one shared stratified sample of 200 gold and synthetic elements.</w:t>
      </w:r>
    </w:p>
    <w:p>
      <w:pPr>
        <w:spacing w:before="0" w:after="0" w:line="240" w:lineRule="auto"/>
        <w:ind w:firstLine="200"/>
        <w:jc w:val="both"/>
      </w:pPr>
      <w:r>
        <w:rPr>
          <w:rFonts w:ascii="Times New Roman" w:hAnsi="Times New Roman" w:eastAsia="Times New Roman"/>
          <w:b/>
          <w:sz w:val="20"/>
        </w:rPr>
        <w:t>NLI cannot see content that survived.</w:t>
      </w:r>
      <w:r>
        <w:rPr>
          <w:rFonts w:ascii="Times New Roman" w:hAnsi="Times New Roman" w:eastAsia="Times New Roman"/>
          <w:sz w:val="20"/>
        </w:rPr>
        <w:t xml:space="preserve"> Broken down by label on the gold and synthetic tiers (excluding NLI’s own corpus labels), NLI identifies true gaps well (accuracy 0.916; lexical 0.974) but recognises paraphrased-present elements only 36.6% of the time and verbatim-present elements only 29.2% of the time (lexical: 64.0% and 45.3%). A detector that misses literal copies is not performing entailment in any useful sense: against a compressed summary of about 100 words, almost every source sentence reads as not entailed. A consequence is that the NLI-labelled corpus tier overstates its gap rate, so corpus-tier figures are best read as an upper bound.</w:t>
      </w:r>
    </w:p>
    <w:p>
      <w:pPr>
        <w:spacing w:before="0" w:after="0" w:line="240" w:lineRule="auto"/>
        <w:ind w:firstLine="200"/>
        <w:jc w:val="both"/>
      </w:pPr>
      <w:r>
        <w:rPr>
          <w:rFonts w:ascii="Times New Roman" w:hAnsi="Times New Roman" w:eastAsia="Times New Roman"/>
          <w:b/>
          <w:sz w:val="20"/>
        </w:rPr>
        <w:t>The LLM judge is at chance.</w:t>
      </w:r>
      <w:r>
        <w:rPr>
          <w:rFonts w:ascii="Times New Roman" w:hAnsi="Times New Roman" w:eastAsia="Times New Roman"/>
          <w:sz w:val="20"/>
        </w:rPr>
        <w:t xml:space="preserve"> On a 296-element stratified sample, the Mistral 7B judge labelled about 95% of elements as present, including obvious omissions, for a gap recall of 0.047 and balanced accuracy of 0.495; the ensemble, which calls an element present if any member does, inherits this bias (0.516 at the common 0.55 threshold; at its designed 0.5 operating point it labels every sampled element present). We verified that the judge received the short summaries and correct labels, so this is a genuine yes-bias under a fixed prompt, consistent with known LLM-judge biases [8], and not a pipeline error.</w:t>
      </w:r>
    </w:p>
    <w:p>
      <w:pPr>
        <w:spacing w:before="0" w:after="0" w:line="240" w:lineRule="auto"/>
        <w:ind w:firstLine="200"/>
        <w:jc w:val="both"/>
      </w:pPr>
      <w:r>
        <w:rPr>
          <w:rFonts w:ascii="Times New Roman" w:hAnsi="Times New Roman" w:eastAsia="Times New Roman"/>
          <w:b/>
          <w:sz w:val="20"/>
        </w:rPr>
        <w:t>Base-rate distortion.</w:t>
      </w:r>
      <w:r>
        <w:rPr>
          <w:rFonts w:ascii="Times New Roman" w:hAnsi="Times New Roman" w:eastAsia="Times New Roman"/>
          <w:sz w:val="20"/>
        </w:rPr>
        <w:t xml:space="preserve"> Per-domain lexical results on the corpus tier show why gap F1 misleads: Committee meetings give the highest gap F1 of any bucket (0.988) and the lowest balanced accuracy (0.532), because their summaries are almost entirely meta-description and guessing “gap” wins.</w:t>
      </w:r>
    </w:p>
    <w:p>
      <w:pPr>
        <w:keepNext/>
        <w:spacing w:before="200" w:after="80" w:line="240" w:lineRule="auto"/>
        <w:jc w:val="center"/>
      </w:pPr>
      <w:r>
        <w:rPr>
          <w:rFonts w:ascii="Times New Roman" w:hAnsi="Times New Roman" w:eastAsia="Times New Roman"/>
          <w:smallCaps/>
          <w:sz w:val="20"/>
        </w:rPr>
        <w:t xml:space="preserve">VI. </w:t>
      </w:r>
      <w:r>
        <w:rPr>
          <w:rFonts w:ascii="Times New Roman" w:hAnsi="Times New Roman" w:eastAsia="Times New Roman"/>
          <w:smallCaps/>
          <w:sz w:val="20"/>
        </w:rPr>
        <w:t>Results: Extraction and Its Ceiling</w:t>
      </w:r>
    </w:p>
    <w:p>
      <w:pPr>
        <w:keepNext/>
        <w:spacing w:before="160" w:after="0" w:line="240" w:lineRule="auto"/>
        <w:jc w:val="center"/>
      </w:pPr>
      <w:r>
        <w:rPr>
          <w:rFonts w:ascii="Times New Roman" w:hAnsi="Times New Roman" w:eastAsia="Times New Roman"/>
          <w:smallCaps/>
          <w:sz w:val="16"/>
        </w:rPr>
        <w:t>TABLE III</w:t>
      </w:r>
    </w:p>
    <w:p>
      <w:pPr>
        <w:keepNext/>
        <w:spacing w:before="0" w:after="80" w:line="240" w:lineRule="auto"/>
        <w:jc w:val="center"/>
      </w:pPr>
      <w:r>
        <w:rPr>
          <w:rFonts w:ascii="Times New Roman" w:hAnsi="Times New Roman" w:eastAsia="Times New Roman"/>
          <w:smallCaps/>
          <w:sz w:val="16"/>
        </w:rPr>
        <w:t>Extraction completeness on the five hand-labelled meetings.</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3480"/>
        <w:gridCol w:w="3480"/>
        <w:gridCol w:w="3480"/>
      </w:tblGrid>
      <w:tr>
        <w:tc>
          <w:tcPr>
            <w:tcW w:type="dxa" w:w="1271"/>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Meeting</w:t>
            </w:r>
          </w:p>
        </w:tc>
        <w:tc>
          <w:tcPr>
            <w:tcW w:type="dxa" w:w="1849"/>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Lexical</w:t>
            </w:r>
          </w:p>
        </w:tc>
        <w:tc>
          <w:tcPr>
            <w:tcW w:type="dxa" w:w="1849"/>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Semantic</w:t>
            </w:r>
          </w:p>
        </w:tc>
      </w:tr>
      <w:tr>
        <w:tc>
          <w:tcPr>
            <w:tcW w:type="dxa" w:w="1271"/>
            <w:tcBorders>
              <w:top w:val="nil"/>
              <w:left w:val="nil"/>
              <w:bottom w:val="nil"/>
              <w:right w:val="nil"/>
            </w:tcBorders>
          </w:tcPr>
          <w:p>
            <w:pPr>
              <w:pStyle w:val="IEEETableText"/>
              <w:keepNext/>
              <w:jc w:val="left"/>
            </w:pPr>
            <w:r>
              <w:rPr>
                <w:rFonts w:ascii="Times New Roman" w:hAnsi="Times New Roman" w:eastAsia="Times New Roman"/>
                <w:sz w:val="16"/>
              </w:rPr>
              <w:t>QSUM_001</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0.455</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0.636</w:t>
            </w:r>
          </w:p>
        </w:tc>
      </w:tr>
      <w:tr>
        <w:tc>
          <w:tcPr>
            <w:tcW w:type="dxa" w:w="1271"/>
            <w:tcBorders>
              <w:top w:val="nil"/>
              <w:left w:val="nil"/>
              <w:bottom w:val="nil"/>
              <w:right w:val="nil"/>
            </w:tcBorders>
          </w:tcPr>
          <w:p>
            <w:pPr>
              <w:pStyle w:val="IEEETableText"/>
              <w:keepNext/>
              <w:jc w:val="left"/>
            </w:pPr>
            <w:r>
              <w:rPr>
                <w:rFonts w:ascii="Times New Roman" w:hAnsi="Times New Roman" w:eastAsia="Times New Roman"/>
                <w:sz w:val="16"/>
              </w:rPr>
              <w:t>QSUM_002</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0.500</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0.875</w:t>
            </w:r>
          </w:p>
        </w:tc>
      </w:tr>
      <w:tr>
        <w:tc>
          <w:tcPr>
            <w:tcW w:type="dxa" w:w="1271"/>
            <w:tcBorders>
              <w:top w:val="nil"/>
              <w:left w:val="nil"/>
              <w:bottom w:val="nil"/>
              <w:right w:val="nil"/>
            </w:tcBorders>
          </w:tcPr>
          <w:p>
            <w:pPr>
              <w:pStyle w:val="IEEETableText"/>
              <w:keepNext/>
              <w:jc w:val="left"/>
            </w:pPr>
            <w:r>
              <w:rPr>
                <w:rFonts w:ascii="Times New Roman" w:hAnsi="Times New Roman" w:eastAsia="Times New Roman"/>
                <w:sz w:val="16"/>
              </w:rPr>
              <w:t>QSUM_003</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0.111</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0.222</w:t>
            </w:r>
          </w:p>
        </w:tc>
      </w:tr>
      <w:tr>
        <w:tc>
          <w:tcPr>
            <w:tcW w:type="dxa" w:w="1271"/>
            <w:tcBorders>
              <w:top w:val="nil"/>
              <w:left w:val="nil"/>
              <w:bottom w:val="nil"/>
              <w:right w:val="nil"/>
            </w:tcBorders>
          </w:tcPr>
          <w:p>
            <w:pPr>
              <w:pStyle w:val="IEEETableText"/>
              <w:keepNext/>
              <w:jc w:val="left"/>
            </w:pPr>
            <w:r>
              <w:rPr>
                <w:rFonts w:ascii="Times New Roman" w:hAnsi="Times New Roman" w:eastAsia="Times New Roman"/>
                <w:sz w:val="16"/>
              </w:rPr>
              <w:t>QSUM_004</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0.286</w:t>
            </w:r>
          </w:p>
        </w:tc>
        <w:tc>
          <w:tcPr>
            <w:tcW w:type="dxa" w:w="1849"/>
            <w:tcBorders>
              <w:top w:val="nil"/>
              <w:left w:val="nil"/>
              <w:bottom w:val="nil"/>
              <w:right w:val="nil"/>
            </w:tcBorders>
          </w:tcPr>
          <w:p>
            <w:pPr>
              <w:pStyle w:val="IEEETableText"/>
              <w:keepNext/>
              <w:jc w:val="right"/>
            </w:pPr>
            <w:r>
              <w:rPr>
                <w:rFonts w:ascii="Times New Roman" w:hAnsi="Times New Roman" w:eastAsia="Times New Roman"/>
                <w:sz w:val="16"/>
              </w:rPr>
              <w:t>0.643</w:t>
            </w:r>
          </w:p>
        </w:tc>
      </w:tr>
      <w:tr>
        <w:tc>
          <w:tcPr>
            <w:tcW w:type="dxa" w:w="1271"/>
            <w:tcBorders>
              <w:top w:val="nil"/>
              <w:left w:val="nil"/>
              <w:bottom w:val="single" w:sz="4" w:color="000000"/>
              <w:right w:val="nil"/>
            </w:tcBorders>
          </w:tcPr>
          <w:p>
            <w:pPr>
              <w:pStyle w:val="IEEETableText"/>
              <w:keepNext/>
              <w:jc w:val="left"/>
            </w:pPr>
            <w:r>
              <w:rPr>
                <w:rFonts w:ascii="Times New Roman" w:hAnsi="Times New Roman" w:eastAsia="Times New Roman"/>
                <w:sz w:val="16"/>
              </w:rPr>
              <w:t>QSUM_005</w:t>
            </w:r>
          </w:p>
        </w:tc>
        <w:tc>
          <w:tcPr>
            <w:tcW w:type="dxa" w:w="1849"/>
            <w:tcBorders>
              <w:top w:val="nil"/>
              <w:left w:val="nil"/>
              <w:bottom w:val="single" w:sz="4" w:color="000000"/>
              <w:right w:val="nil"/>
            </w:tcBorders>
          </w:tcPr>
          <w:p>
            <w:pPr>
              <w:pStyle w:val="IEEETableText"/>
              <w:keepNext/>
              <w:jc w:val="right"/>
            </w:pPr>
            <w:r>
              <w:rPr>
                <w:rFonts w:ascii="Times New Roman" w:hAnsi="Times New Roman" w:eastAsia="Times New Roman"/>
                <w:sz w:val="16"/>
              </w:rPr>
              <w:t>0.333</w:t>
            </w:r>
          </w:p>
        </w:tc>
        <w:tc>
          <w:tcPr>
            <w:tcW w:type="dxa" w:w="1849"/>
            <w:tcBorders>
              <w:top w:val="nil"/>
              <w:left w:val="nil"/>
              <w:bottom w:val="single" w:sz="4" w:color="000000"/>
              <w:right w:val="nil"/>
            </w:tcBorders>
          </w:tcPr>
          <w:p>
            <w:pPr>
              <w:pStyle w:val="IEEETableText"/>
              <w:keepNext/>
              <w:jc w:val="right"/>
            </w:pPr>
            <w:r>
              <w:rPr>
                <w:rFonts w:ascii="Times New Roman" w:hAnsi="Times New Roman" w:eastAsia="Times New Roman"/>
                <w:sz w:val="16"/>
              </w:rPr>
              <w:t>0.500</w:t>
            </w:r>
          </w:p>
        </w:tc>
      </w:tr>
      <w:tr>
        <w:tc>
          <w:tcPr>
            <w:tcW w:type="dxa" w:w="1271"/>
            <w:tcBorders>
              <w:top w:val="nil"/>
              <w:left w:val="nil"/>
              <w:bottom w:val="single" w:sz="8" w:color="000000"/>
              <w:right w:val="nil"/>
            </w:tcBorders>
          </w:tcPr>
          <w:p>
            <w:pPr>
              <w:pStyle w:val="IEEETableText"/>
              <w:jc w:val="left"/>
            </w:pPr>
            <w:r>
              <w:rPr>
                <w:rFonts w:ascii="Times New Roman" w:hAnsi="Times New Roman" w:eastAsia="Times New Roman"/>
                <w:sz w:val="16"/>
              </w:rPr>
              <w:t>Pooled</w:t>
            </w:r>
          </w:p>
        </w:tc>
        <w:tc>
          <w:tcPr>
            <w:tcW w:type="dxa" w:w="1849"/>
            <w:tcBorders>
              <w:top w:val="nil"/>
              <w:left w:val="nil"/>
              <w:bottom w:val="single" w:sz="8" w:color="000000"/>
              <w:right w:val="nil"/>
            </w:tcBorders>
          </w:tcPr>
          <w:p>
            <w:pPr>
              <w:pStyle w:val="IEEETableText"/>
              <w:jc w:val="right"/>
            </w:pPr>
            <w:r>
              <w:rPr>
                <w:rFonts w:ascii="Times New Roman" w:hAnsi="Times New Roman" w:eastAsia="Times New Roman"/>
                <w:b/>
                <w:sz w:val="16"/>
              </w:rPr>
              <w:t>0.333</w:t>
            </w:r>
            <w:r>
              <w:rPr>
                <w:rFonts w:ascii="Times New Roman" w:hAnsi="Times New Roman" w:eastAsia="Times New Roman"/>
                <w:sz w:val="16"/>
              </w:rPr>
              <w:t xml:space="preserve"> (16/48)</w:t>
            </w:r>
          </w:p>
        </w:tc>
        <w:tc>
          <w:tcPr>
            <w:tcW w:type="dxa" w:w="1849"/>
            <w:tcBorders>
              <w:top w:val="nil"/>
              <w:left w:val="nil"/>
              <w:bottom w:val="single" w:sz="8" w:color="000000"/>
              <w:right w:val="nil"/>
            </w:tcBorders>
          </w:tcPr>
          <w:p>
            <w:pPr>
              <w:pStyle w:val="IEEETableText"/>
              <w:jc w:val="right"/>
            </w:pPr>
            <w:r>
              <w:rPr>
                <w:rFonts w:ascii="Times New Roman" w:hAnsi="Times New Roman" w:eastAsia="Times New Roman"/>
                <w:b/>
                <w:sz w:val="16"/>
              </w:rPr>
              <w:t>0.583</w:t>
            </w:r>
            <w:r>
              <w:rPr>
                <w:rFonts w:ascii="Times New Roman" w:hAnsi="Times New Roman" w:eastAsia="Times New Roman"/>
                <w:sz w:val="16"/>
              </w:rPr>
              <w:t xml:space="preserve"> (28/48)</w:t>
            </w:r>
          </w:p>
        </w:tc>
      </w:tr>
    </w:tbl>
    <w:p>
      <w:pPr>
        <w:spacing w:before="0" w:after="120" w:line="240" w:lineRule="auto"/>
        <w:jc w:val="both"/>
      </w:pPr>
    </w:p>
    <w:p>
      <w:pPr>
        <w:spacing w:before="0" w:after="0" w:line="240" w:lineRule="auto"/>
        <w:ind w:firstLine="200"/>
        <w:jc w:val="both"/>
      </w:pPr>
      <w:r>
        <w:rPr>
          <w:rFonts w:ascii="Times New Roman" w:hAnsi="Times New Roman" w:eastAsia="Times New Roman"/>
          <w:b/>
          <w:sz w:val="20"/>
        </w:rPr>
        <w:t>Completeness is a range.</w:t>
      </w:r>
      <w:r>
        <w:rPr>
          <w:rFonts w:ascii="Times New Roman" w:hAnsi="Times New Roman" w:eastAsia="Times New Roman"/>
          <w:sz w:val="20"/>
        </w:rPr>
        <w:t xml:space="preserve"> On the gold meetings EDIA recovers 33.3% (lexical) to 58.3% (semantic) of the hand-labelled reasoning (Table III). The gap between the two matchers is itself a finding: 14 of the 32 lexical misses are correct extractions that token overlap under-credits (e.g. the headline decision “Kryptonite was chosen as the preferred energy source” scores 0.36), so the lexical figure is a floor. The unsupported-quote rate on these meetings is 16.4%.</w:t>
      </w:r>
    </w:p>
    <w:p>
      <w:pPr>
        <w:keepNext/>
        <w:spacing w:before="160" w:after="0" w:line="240" w:lineRule="auto"/>
        <w:jc w:val="center"/>
      </w:pPr>
      <w:r>
        <w:rPr>
          <w:rFonts w:ascii="Times New Roman" w:hAnsi="Times New Roman" w:eastAsia="Times New Roman"/>
          <w:smallCaps/>
          <w:sz w:val="16"/>
        </w:rPr>
        <w:t>TABLE IV</w:t>
      </w:r>
    </w:p>
    <w:p>
      <w:pPr>
        <w:keepNext/>
        <w:spacing w:before="0" w:after="80" w:line="240" w:lineRule="auto"/>
        <w:jc w:val="center"/>
      </w:pPr>
      <w:r>
        <w:rPr>
          <w:rFonts w:ascii="Times New Roman" w:hAnsi="Times New Roman" w:eastAsia="Times New Roman"/>
          <w:smallCaps/>
          <w:sz w:val="16"/>
        </w:rPr>
        <w:t>Corpus-wide extraction (227 meetings): unsupported-quote rate by domain. “Tidied” = unsupported quotes whose words all appear, in order, in the source chunk (words dropped, none added).</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2088"/>
        <w:gridCol w:w="2088"/>
        <w:gridCol w:w="2088"/>
        <w:gridCol w:w="2088"/>
        <w:gridCol w:w="2088"/>
      </w:tblGrid>
      <w:tr>
        <w:tc>
          <w:tcPr>
            <w:tcW w:type="dxa" w:w="1046"/>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Domain</w:t>
            </w:r>
          </w:p>
        </w:tc>
        <w:tc>
          <w:tcPr>
            <w:tcW w:type="dxa" w:w="959"/>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Meetings</w:t>
            </w:r>
          </w:p>
        </w:tc>
        <w:tc>
          <w:tcPr>
            <w:tcW w:type="dxa" w:w="784"/>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Quotes</w:t>
            </w:r>
          </w:p>
        </w:tc>
        <w:tc>
          <w:tcPr>
            <w:tcW w:type="dxa" w:w="872"/>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Unsupp.</w:t>
            </w:r>
          </w:p>
        </w:tc>
        <w:tc>
          <w:tcPr>
            <w:tcW w:type="dxa" w:w="1307"/>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Excl. tidied</w:t>
            </w:r>
          </w:p>
        </w:tc>
      </w:tr>
      <w:tr>
        <w:tc>
          <w:tcPr>
            <w:tcW w:type="dxa" w:w="1046"/>
            <w:tcBorders>
              <w:top w:val="nil"/>
              <w:left w:val="nil"/>
              <w:bottom w:val="nil"/>
              <w:right w:val="nil"/>
            </w:tcBorders>
          </w:tcPr>
          <w:p>
            <w:pPr>
              <w:pStyle w:val="IEEETableText"/>
              <w:keepNext/>
              <w:jc w:val="left"/>
            </w:pPr>
            <w:r>
              <w:rPr>
                <w:rFonts w:ascii="Times New Roman" w:hAnsi="Times New Roman" w:eastAsia="Times New Roman"/>
                <w:sz w:val="16"/>
              </w:rPr>
              <w:t>Academic</w:t>
            </w:r>
          </w:p>
        </w:tc>
        <w:tc>
          <w:tcPr>
            <w:tcW w:type="dxa" w:w="959"/>
            <w:tcBorders>
              <w:top w:val="nil"/>
              <w:left w:val="nil"/>
              <w:bottom w:val="nil"/>
              <w:right w:val="nil"/>
            </w:tcBorders>
          </w:tcPr>
          <w:p>
            <w:pPr>
              <w:pStyle w:val="IEEETableText"/>
              <w:keepNext/>
              <w:jc w:val="right"/>
            </w:pPr>
            <w:r>
              <w:rPr>
                <w:rFonts w:ascii="Times New Roman" w:hAnsi="Times New Roman" w:eastAsia="Times New Roman"/>
                <w:sz w:val="16"/>
              </w:rPr>
              <w:t>59</w:t>
            </w:r>
          </w:p>
        </w:tc>
        <w:tc>
          <w:tcPr>
            <w:tcW w:type="dxa" w:w="784"/>
            <w:tcBorders>
              <w:top w:val="nil"/>
              <w:left w:val="nil"/>
              <w:bottom w:val="nil"/>
              <w:right w:val="nil"/>
            </w:tcBorders>
          </w:tcPr>
          <w:p>
            <w:pPr>
              <w:pStyle w:val="IEEETableText"/>
              <w:keepNext/>
              <w:jc w:val="right"/>
            </w:pPr>
            <w:r>
              <w:rPr>
                <w:rFonts w:ascii="Times New Roman" w:hAnsi="Times New Roman" w:eastAsia="Times New Roman"/>
                <w:sz w:val="16"/>
              </w:rPr>
              <w:t>6,341</w:t>
            </w:r>
          </w:p>
        </w:tc>
        <w:tc>
          <w:tcPr>
            <w:tcW w:type="dxa" w:w="872"/>
            <w:tcBorders>
              <w:top w:val="nil"/>
              <w:left w:val="nil"/>
              <w:bottom w:val="nil"/>
              <w:right w:val="nil"/>
            </w:tcBorders>
          </w:tcPr>
          <w:p>
            <w:pPr>
              <w:pStyle w:val="IEEETableText"/>
              <w:keepNext/>
              <w:jc w:val="right"/>
            </w:pPr>
            <w:r>
              <w:rPr>
                <w:rFonts w:ascii="Times New Roman" w:hAnsi="Times New Roman" w:eastAsia="Times New Roman"/>
                <w:sz w:val="16"/>
              </w:rPr>
              <w:t>26.7%</w:t>
            </w:r>
          </w:p>
        </w:tc>
        <w:tc>
          <w:tcPr>
            <w:tcW w:type="dxa" w:w="1307"/>
            <w:tcBorders>
              <w:top w:val="nil"/>
              <w:left w:val="nil"/>
              <w:bottom w:val="nil"/>
              <w:right w:val="nil"/>
            </w:tcBorders>
          </w:tcPr>
          <w:p>
            <w:pPr>
              <w:pStyle w:val="IEEETableText"/>
              <w:keepNext/>
              <w:jc w:val="right"/>
            </w:pPr>
            <w:r>
              <w:rPr>
                <w:rFonts w:ascii="Times New Roman" w:hAnsi="Times New Roman" w:eastAsia="Times New Roman"/>
                <w:sz w:val="16"/>
              </w:rPr>
              <w:t>7.6%</w:t>
            </w:r>
          </w:p>
        </w:tc>
      </w:tr>
      <w:tr>
        <w:tc>
          <w:tcPr>
            <w:tcW w:type="dxa" w:w="1046"/>
            <w:tcBorders>
              <w:top w:val="nil"/>
              <w:left w:val="nil"/>
              <w:bottom w:val="nil"/>
              <w:right w:val="nil"/>
            </w:tcBorders>
          </w:tcPr>
          <w:p>
            <w:pPr>
              <w:pStyle w:val="IEEETableText"/>
              <w:keepNext/>
              <w:jc w:val="left"/>
            </w:pPr>
            <w:r>
              <w:rPr>
                <w:rFonts w:ascii="Times New Roman" w:hAnsi="Times New Roman" w:eastAsia="Times New Roman"/>
                <w:sz w:val="16"/>
              </w:rPr>
              <w:t>Committee</w:t>
            </w:r>
          </w:p>
        </w:tc>
        <w:tc>
          <w:tcPr>
            <w:tcW w:type="dxa" w:w="959"/>
            <w:tcBorders>
              <w:top w:val="nil"/>
              <w:left w:val="nil"/>
              <w:bottom w:val="nil"/>
              <w:right w:val="nil"/>
            </w:tcBorders>
          </w:tcPr>
          <w:p>
            <w:pPr>
              <w:pStyle w:val="IEEETableText"/>
              <w:keepNext/>
              <w:jc w:val="right"/>
            </w:pPr>
            <w:r>
              <w:rPr>
                <w:rFonts w:ascii="Times New Roman" w:hAnsi="Times New Roman" w:eastAsia="Times New Roman"/>
                <w:sz w:val="16"/>
              </w:rPr>
              <w:t>36</w:t>
            </w:r>
          </w:p>
        </w:tc>
        <w:tc>
          <w:tcPr>
            <w:tcW w:type="dxa" w:w="784"/>
            <w:tcBorders>
              <w:top w:val="nil"/>
              <w:left w:val="nil"/>
              <w:bottom w:val="nil"/>
              <w:right w:val="nil"/>
            </w:tcBorders>
          </w:tcPr>
          <w:p>
            <w:pPr>
              <w:pStyle w:val="IEEETableText"/>
              <w:keepNext/>
              <w:jc w:val="right"/>
            </w:pPr>
            <w:r>
              <w:rPr>
                <w:rFonts w:ascii="Times New Roman" w:hAnsi="Times New Roman" w:eastAsia="Times New Roman"/>
                <w:sz w:val="16"/>
              </w:rPr>
              <w:t>5,441</w:t>
            </w:r>
          </w:p>
        </w:tc>
        <w:tc>
          <w:tcPr>
            <w:tcW w:type="dxa" w:w="872"/>
            <w:tcBorders>
              <w:top w:val="nil"/>
              <w:left w:val="nil"/>
              <w:bottom w:val="nil"/>
              <w:right w:val="nil"/>
            </w:tcBorders>
          </w:tcPr>
          <w:p>
            <w:pPr>
              <w:pStyle w:val="IEEETableText"/>
              <w:keepNext/>
              <w:jc w:val="right"/>
            </w:pPr>
            <w:r>
              <w:rPr>
                <w:rFonts w:ascii="Times New Roman" w:hAnsi="Times New Roman" w:eastAsia="Times New Roman"/>
                <w:sz w:val="16"/>
              </w:rPr>
              <w:t>5.1%</w:t>
            </w:r>
          </w:p>
        </w:tc>
        <w:tc>
          <w:tcPr>
            <w:tcW w:type="dxa" w:w="1307"/>
            <w:tcBorders>
              <w:top w:val="nil"/>
              <w:left w:val="nil"/>
              <w:bottom w:val="nil"/>
              <w:right w:val="nil"/>
            </w:tcBorders>
          </w:tcPr>
          <w:p>
            <w:pPr>
              <w:pStyle w:val="IEEETableText"/>
              <w:keepNext/>
              <w:jc w:val="right"/>
            </w:pPr>
            <w:r>
              <w:rPr>
                <w:rFonts w:ascii="Times New Roman" w:hAnsi="Times New Roman" w:eastAsia="Times New Roman"/>
                <w:sz w:val="16"/>
              </w:rPr>
              <w:t>3.6%</w:t>
            </w:r>
          </w:p>
        </w:tc>
      </w:tr>
      <w:tr>
        <w:tc>
          <w:tcPr>
            <w:tcW w:type="dxa" w:w="1046"/>
            <w:tcBorders>
              <w:top w:val="nil"/>
              <w:left w:val="nil"/>
              <w:bottom w:val="single" w:sz="4" w:color="000000"/>
              <w:right w:val="nil"/>
            </w:tcBorders>
          </w:tcPr>
          <w:p>
            <w:pPr>
              <w:pStyle w:val="IEEETableText"/>
              <w:keepNext/>
              <w:jc w:val="left"/>
            </w:pPr>
            <w:r>
              <w:rPr>
                <w:rFonts w:ascii="Times New Roman" w:hAnsi="Times New Roman" w:eastAsia="Times New Roman"/>
                <w:sz w:val="16"/>
              </w:rPr>
              <w:t>Product</w:t>
            </w:r>
          </w:p>
        </w:tc>
        <w:tc>
          <w:tcPr>
            <w:tcW w:type="dxa" w:w="959"/>
            <w:tcBorders>
              <w:top w:val="nil"/>
              <w:left w:val="nil"/>
              <w:bottom w:val="single" w:sz="4" w:color="000000"/>
              <w:right w:val="nil"/>
            </w:tcBorders>
          </w:tcPr>
          <w:p>
            <w:pPr>
              <w:pStyle w:val="IEEETableText"/>
              <w:keepNext/>
              <w:jc w:val="right"/>
            </w:pPr>
            <w:r>
              <w:rPr>
                <w:rFonts w:ascii="Times New Roman" w:hAnsi="Times New Roman" w:eastAsia="Times New Roman"/>
                <w:sz w:val="16"/>
              </w:rPr>
              <w:t>132</w:t>
            </w:r>
          </w:p>
        </w:tc>
        <w:tc>
          <w:tcPr>
            <w:tcW w:type="dxa" w:w="784"/>
            <w:tcBorders>
              <w:top w:val="nil"/>
              <w:left w:val="nil"/>
              <w:bottom w:val="single" w:sz="4" w:color="000000"/>
              <w:right w:val="nil"/>
            </w:tcBorders>
          </w:tcPr>
          <w:p>
            <w:pPr>
              <w:pStyle w:val="IEEETableText"/>
              <w:keepNext/>
              <w:jc w:val="right"/>
            </w:pPr>
            <w:r>
              <w:rPr>
                <w:rFonts w:ascii="Times New Roman" w:hAnsi="Times New Roman" w:eastAsia="Times New Roman"/>
                <w:sz w:val="16"/>
              </w:rPr>
              <w:t>10,167</w:t>
            </w:r>
          </w:p>
        </w:tc>
        <w:tc>
          <w:tcPr>
            <w:tcW w:type="dxa" w:w="872"/>
            <w:tcBorders>
              <w:top w:val="nil"/>
              <w:left w:val="nil"/>
              <w:bottom w:val="single" w:sz="4" w:color="000000"/>
              <w:right w:val="nil"/>
            </w:tcBorders>
          </w:tcPr>
          <w:p>
            <w:pPr>
              <w:pStyle w:val="IEEETableText"/>
              <w:keepNext/>
              <w:jc w:val="right"/>
            </w:pPr>
            <w:r>
              <w:rPr>
                <w:rFonts w:ascii="Times New Roman" w:hAnsi="Times New Roman" w:eastAsia="Times New Roman"/>
                <w:sz w:val="16"/>
              </w:rPr>
              <w:t>12.0%</w:t>
            </w:r>
          </w:p>
        </w:tc>
        <w:tc>
          <w:tcPr>
            <w:tcW w:type="dxa" w:w="1307"/>
            <w:tcBorders>
              <w:top w:val="nil"/>
              <w:left w:val="nil"/>
              <w:bottom w:val="single" w:sz="4" w:color="000000"/>
              <w:right w:val="nil"/>
            </w:tcBorders>
          </w:tcPr>
          <w:p>
            <w:pPr>
              <w:pStyle w:val="IEEETableText"/>
              <w:keepNext/>
              <w:jc w:val="right"/>
            </w:pPr>
            <w:r>
              <w:rPr>
                <w:rFonts w:ascii="Times New Roman" w:hAnsi="Times New Roman" w:eastAsia="Times New Roman"/>
                <w:sz w:val="16"/>
              </w:rPr>
              <w:t>5.1%</w:t>
            </w:r>
          </w:p>
        </w:tc>
      </w:tr>
      <w:tr>
        <w:tc>
          <w:tcPr>
            <w:tcW w:type="dxa" w:w="1046"/>
            <w:tcBorders>
              <w:top w:val="nil"/>
              <w:left w:val="nil"/>
              <w:bottom w:val="single" w:sz="8" w:color="000000"/>
              <w:right w:val="nil"/>
            </w:tcBorders>
          </w:tcPr>
          <w:p>
            <w:pPr>
              <w:pStyle w:val="IEEETableText"/>
              <w:jc w:val="left"/>
            </w:pPr>
            <w:r>
              <w:rPr>
                <w:rFonts w:ascii="Times New Roman" w:hAnsi="Times New Roman" w:eastAsia="Times New Roman"/>
                <w:sz w:val="16"/>
              </w:rPr>
              <w:t>All</w:t>
            </w:r>
          </w:p>
        </w:tc>
        <w:tc>
          <w:tcPr>
            <w:tcW w:type="dxa" w:w="959"/>
            <w:tcBorders>
              <w:top w:val="nil"/>
              <w:left w:val="nil"/>
              <w:bottom w:val="single" w:sz="8" w:color="000000"/>
              <w:right w:val="nil"/>
            </w:tcBorders>
          </w:tcPr>
          <w:p>
            <w:pPr>
              <w:pStyle w:val="IEEETableText"/>
              <w:jc w:val="right"/>
            </w:pPr>
            <w:r>
              <w:rPr>
                <w:rFonts w:ascii="Times New Roman" w:hAnsi="Times New Roman" w:eastAsia="Times New Roman"/>
                <w:sz w:val="16"/>
              </w:rPr>
              <w:t>227</w:t>
            </w:r>
          </w:p>
        </w:tc>
        <w:tc>
          <w:tcPr>
            <w:tcW w:type="dxa" w:w="784"/>
            <w:tcBorders>
              <w:top w:val="nil"/>
              <w:left w:val="nil"/>
              <w:bottom w:val="single" w:sz="8" w:color="000000"/>
              <w:right w:val="nil"/>
            </w:tcBorders>
          </w:tcPr>
          <w:p>
            <w:pPr>
              <w:pStyle w:val="IEEETableText"/>
              <w:jc w:val="right"/>
            </w:pPr>
            <w:r>
              <w:rPr>
                <w:rFonts w:ascii="Times New Roman" w:hAnsi="Times New Roman" w:eastAsia="Times New Roman"/>
                <w:sz w:val="16"/>
              </w:rPr>
              <w:t>21,949</w:t>
            </w:r>
          </w:p>
        </w:tc>
        <w:tc>
          <w:tcPr>
            <w:tcW w:type="dxa" w:w="872"/>
            <w:tcBorders>
              <w:top w:val="nil"/>
              <w:left w:val="nil"/>
              <w:bottom w:val="single" w:sz="8" w:color="000000"/>
              <w:right w:val="nil"/>
            </w:tcBorders>
          </w:tcPr>
          <w:p>
            <w:pPr>
              <w:pStyle w:val="IEEETableText"/>
              <w:jc w:val="right"/>
            </w:pPr>
            <w:r>
              <w:rPr>
                <w:rFonts w:ascii="Times New Roman" w:hAnsi="Times New Roman" w:eastAsia="Times New Roman"/>
                <w:sz w:val="16"/>
              </w:rPr>
              <w:t>14.6%</w:t>
            </w:r>
          </w:p>
        </w:tc>
        <w:tc>
          <w:tcPr>
            <w:tcW w:type="dxa" w:w="1307"/>
            <w:tcBorders>
              <w:top w:val="nil"/>
              <w:left w:val="nil"/>
              <w:bottom w:val="single" w:sz="8" w:color="000000"/>
              <w:right w:val="nil"/>
            </w:tcBorders>
          </w:tcPr>
          <w:p>
            <w:pPr>
              <w:pStyle w:val="IEEETableText"/>
              <w:jc w:val="right"/>
            </w:pPr>
            <w:r>
              <w:rPr>
                <w:rFonts w:ascii="Times New Roman" w:hAnsi="Times New Roman" w:eastAsia="Times New Roman"/>
                <w:sz w:val="16"/>
              </w:rPr>
              <w:t>5.4%</w:t>
            </w:r>
          </w:p>
        </w:tc>
      </w:tr>
    </w:tbl>
    <w:p>
      <w:pPr>
        <w:spacing w:before="0" w:after="120" w:line="240" w:lineRule="auto"/>
        <w:jc w:val="both"/>
      </w:pPr>
    </w:p>
    <w:p>
      <w:pPr>
        <w:spacing w:before="0" w:after="0" w:line="240" w:lineRule="auto"/>
        <w:ind w:firstLine="200"/>
        <w:jc w:val="both"/>
      </w:pPr>
      <w:r>
        <w:rPr>
          <w:rFonts w:ascii="Times New Roman" w:hAnsi="Times New Roman" w:eastAsia="Times New Roman"/>
          <w:b/>
          <w:sz w:val="20"/>
        </w:rPr>
        <w:t>Grounding across domains.</w:t>
      </w:r>
      <w:r>
        <w:rPr>
          <w:rFonts w:ascii="Times New Roman" w:hAnsi="Times New Roman" w:eastAsia="Times New Roman"/>
          <w:sz w:val="20"/>
        </w:rPr>
        <w:t xml:space="preserve"> Completeness cannot be measured outside the gold meetings, but grounding can. Table IV reports the unsupported-quote rate over all 227 corpus meetings (3,532 chunks; 36, or 1.0%, failed because the model entered a repetition loop). Academic meetings appear far worse (26.7%), but 72% of their unsupported quotes are near-verbatim: the model drops the false starts, repetitions and word fragments that are pervasive in ICSI speech. Excluding such tidying, the three domains fall within 3.6–7.6%, indicating that the extractor behaves consistently across domains. We report the stricter figure as the hallucination rate.</w:t>
      </w:r>
    </w:p>
    <w:p>
      <w:pPr>
        <w:keepNext/>
        <w:spacing w:before="160" w:after="0" w:line="240" w:lineRule="auto"/>
        <w:jc w:val="center"/>
      </w:pPr>
      <w:r>
        <w:rPr>
          <w:rFonts w:ascii="Times New Roman" w:hAnsi="Times New Roman" w:eastAsia="Times New Roman"/>
          <w:smallCaps/>
          <w:sz w:val="16"/>
        </w:rPr>
        <w:t>TABLE V</w:t>
      </w:r>
    </w:p>
    <w:p>
      <w:pPr>
        <w:keepNext/>
        <w:spacing w:before="0" w:after="80" w:line="240" w:lineRule="auto"/>
        <w:jc w:val="center"/>
      </w:pPr>
      <w:r>
        <w:rPr>
          <w:rFonts w:ascii="Times New Roman" w:hAnsi="Times New Roman" w:eastAsia="Times New Roman"/>
          <w:smallCaps/>
          <w:sz w:val="16"/>
        </w:rPr>
        <w:t>Failure taxonomy of the 20 semantic-residual misses, from manual reading of the transcript evidence for each miss.</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3480"/>
        <w:gridCol w:w="3480"/>
        <w:gridCol w:w="3480"/>
      </w:tblGrid>
      <w:tr>
        <w:tc>
          <w:tcPr>
            <w:tcW w:type="dxa" w:w="3846"/>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Failure category</w:t>
            </w:r>
          </w:p>
        </w:tc>
        <w:tc>
          <w:tcPr>
            <w:tcW w:type="dxa" w:w="481"/>
            <w:tcBorders>
              <w:top w:val="single" w:sz="8" w:color="000000"/>
              <w:left w:val="nil"/>
              <w:bottom w:val="single" w:sz="4" w:color="000000"/>
              <w:right w:val="nil"/>
            </w:tcBorders>
          </w:tcPr>
          <w:p>
            <w:pPr>
              <w:pStyle w:val="IEEETableText"/>
              <w:keepNext/>
              <w:jc w:val="right"/>
            </w:pPr>
            <w:r>
              <w:rPr>
                <w:rFonts w:ascii="Times New Roman" w:hAnsi="Times New Roman" w:eastAsia="Times New Roman"/>
                <w:i/>
                <w:sz w:val="16"/>
              </w:rPr>
              <w:t>n</w:t>
            </w:r>
          </w:p>
        </w:tc>
        <w:tc>
          <w:tcPr>
            <w:tcW w:type="dxa" w:w="641"/>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Share</w:t>
            </w:r>
          </w:p>
        </w:tc>
      </w:tr>
      <w:tr>
        <w:tc>
          <w:tcPr>
            <w:tcW w:type="dxa" w:w="3846"/>
            <w:tcBorders>
              <w:top w:val="nil"/>
              <w:left w:val="nil"/>
              <w:bottom w:val="nil"/>
              <w:right w:val="nil"/>
            </w:tcBorders>
          </w:tcPr>
          <w:p>
            <w:pPr>
              <w:pStyle w:val="IEEETableText"/>
              <w:keepNext/>
              <w:jc w:val="left"/>
            </w:pPr>
            <w:r>
              <w:rPr>
                <w:rFonts w:ascii="Times New Roman" w:hAnsi="Times New Roman" w:eastAsia="Times New Roman"/>
                <w:sz w:val="16"/>
              </w:rPr>
              <w:t>Multi-hop, implicit (connection never stated)</w:t>
            </w:r>
          </w:p>
        </w:tc>
        <w:tc>
          <w:tcPr>
            <w:tcW w:type="dxa" w:w="481"/>
            <w:tcBorders>
              <w:top w:val="nil"/>
              <w:left w:val="nil"/>
              <w:bottom w:val="nil"/>
              <w:right w:val="nil"/>
            </w:tcBorders>
          </w:tcPr>
          <w:p>
            <w:pPr>
              <w:pStyle w:val="IEEETableText"/>
              <w:keepNext/>
              <w:jc w:val="right"/>
            </w:pPr>
            <w:r>
              <w:rPr>
                <w:rFonts w:ascii="Times New Roman" w:hAnsi="Times New Roman" w:eastAsia="Times New Roman"/>
                <w:sz w:val="16"/>
              </w:rPr>
              <w:t>6</w:t>
            </w:r>
          </w:p>
        </w:tc>
        <w:tc>
          <w:tcPr>
            <w:tcW w:type="dxa" w:w="641"/>
            <w:tcBorders>
              <w:top w:val="nil"/>
              <w:left w:val="nil"/>
              <w:bottom w:val="nil"/>
              <w:right w:val="nil"/>
            </w:tcBorders>
          </w:tcPr>
          <w:p>
            <w:pPr>
              <w:pStyle w:val="IEEETableText"/>
              <w:keepNext/>
              <w:jc w:val="right"/>
            </w:pPr>
            <w:r>
              <w:rPr>
                <w:rFonts w:ascii="Times New Roman" w:hAnsi="Times New Roman" w:eastAsia="Times New Roman"/>
                <w:sz w:val="16"/>
              </w:rPr>
              <w:t>30%</w:t>
            </w:r>
          </w:p>
        </w:tc>
      </w:tr>
      <w:tr>
        <w:tc>
          <w:tcPr>
            <w:tcW w:type="dxa" w:w="3846"/>
            <w:tcBorders>
              <w:top w:val="nil"/>
              <w:left w:val="nil"/>
              <w:bottom w:val="nil"/>
              <w:right w:val="nil"/>
            </w:tcBorders>
          </w:tcPr>
          <w:p>
            <w:pPr>
              <w:pStyle w:val="IEEETableText"/>
              <w:keepNext/>
              <w:jc w:val="left"/>
            </w:pPr>
            <w:r>
              <w:rPr>
                <w:rFonts w:ascii="Times New Roman" w:hAnsi="Times New Roman" w:eastAsia="Times New Roman"/>
                <w:sz w:val="16"/>
              </w:rPr>
              <w:t>Multi-hop, scattered (turns far apart)</w:t>
            </w:r>
          </w:p>
        </w:tc>
        <w:tc>
          <w:tcPr>
            <w:tcW w:type="dxa" w:w="481"/>
            <w:tcBorders>
              <w:top w:val="nil"/>
              <w:left w:val="nil"/>
              <w:bottom w:val="nil"/>
              <w:right w:val="nil"/>
            </w:tcBorders>
          </w:tcPr>
          <w:p>
            <w:pPr>
              <w:pStyle w:val="IEEETableText"/>
              <w:keepNext/>
              <w:jc w:val="right"/>
            </w:pPr>
            <w:r>
              <w:rPr>
                <w:rFonts w:ascii="Times New Roman" w:hAnsi="Times New Roman" w:eastAsia="Times New Roman"/>
                <w:sz w:val="16"/>
              </w:rPr>
              <w:t>5</w:t>
            </w:r>
          </w:p>
        </w:tc>
        <w:tc>
          <w:tcPr>
            <w:tcW w:type="dxa" w:w="641"/>
            <w:tcBorders>
              <w:top w:val="nil"/>
              <w:left w:val="nil"/>
              <w:bottom w:val="nil"/>
              <w:right w:val="nil"/>
            </w:tcBorders>
          </w:tcPr>
          <w:p>
            <w:pPr>
              <w:pStyle w:val="IEEETableText"/>
              <w:keepNext/>
              <w:jc w:val="right"/>
            </w:pPr>
            <w:r>
              <w:rPr>
                <w:rFonts w:ascii="Times New Roman" w:hAnsi="Times New Roman" w:eastAsia="Times New Roman"/>
                <w:sz w:val="16"/>
              </w:rPr>
              <w:t>25%</w:t>
            </w:r>
          </w:p>
        </w:tc>
      </w:tr>
      <w:tr>
        <w:tc>
          <w:tcPr>
            <w:tcW w:type="dxa" w:w="3846"/>
            <w:tcBorders>
              <w:top w:val="nil"/>
              <w:left w:val="nil"/>
              <w:bottom w:val="nil"/>
              <w:right w:val="nil"/>
            </w:tcBorders>
          </w:tcPr>
          <w:p>
            <w:pPr>
              <w:pStyle w:val="IEEETableText"/>
              <w:keepNext/>
              <w:jc w:val="left"/>
            </w:pPr>
            <w:r>
              <w:rPr>
                <w:rFonts w:ascii="Times New Roman" w:hAnsi="Times New Roman" w:eastAsia="Times New Roman"/>
                <w:sz w:val="16"/>
              </w:rPr>
              <w:t>Paraphrase miss (scorer did not match)</w:t>
            </w:r>
          </w:p>
        </w:tc>
        <w:tc>
          <w:tcPr>
            <w:tcW w:type="dxa" w:w="481"/>
            <w:tcBorders>
              <w:top w:val="nil"/>
              <w:left w:val="nil"/>
              <w:bottom w:val="nil"/>
              <w:right w:val="nil"/>
            </w:tcBorders>
          </w:tcPr>
          <w:p>
            <w:pPr>
              <w:pStyle w:val="IEEETableText"/>
              <w:keepNext/>
              <w:jc w:val="right"/>
            </w:pPr>
            <w:r>
              <w:rPr>
                <w:rFonts w:ascii="Times New Roman" w:hAnsi="Times New Roman" w:eastAsia="Times New Roman"/>
                <w:sz w:val="16"/>
              </w:rPr>
              <w:t>5</w:t>
            </w:r>
          </w:p>
        </w:tc>
        <w:tc>
          <w:tcPr>
            <w:tcW w:type="dxa" w:w="641"/>
            <w:tcBorders>
              <w:top w:val="nil"/>
              <w:left w:val="nil"/>
              <w:bottom w:val="nil"/>
              <w:right w:val="nil"/>
            </w:tcBorders>
          </w:tcPr>
          <w:p>
            <w:pPr>
              <w:pStyle w:val="IEEETableText"/>
              <w:keepNext/>
              <w:jc w:val="right"/>
            </w:pPr>
            <w:r>
              <w:rPr>
                <w:rFonts w:ascii="Times New Roman" w:hAnsi="Times New Roman" w:eastAsia="Times New Roman"/>
                <w:sz w:val="16"/>
              </w:rPr>
              <w:t>25%</w:t>
            </w:r>
          </w:p>
        </w:tc>
      </w:tr>
      <w:tr>
        <w:tc>
          <w:tcPr>
            <w:tcW w:type="dxa" w:w="3846"/>
            <w:tcBorders>
              <w:top w:val="nil"/>
              <w:left w:val="nil"/>
              <w:bottom w:val="nil"/>
              <w:right w:val="nil"/>
            </w:tcBorders>
          </w:tcPr>
          <w:p>
            <w:pPr>
              <w:pStyle w:val="IEEETableText"/>
              <w:keepNext/>
              <w:jc w:val="left"/>
            </w:pPr>
            <w:r>
              <w:rPr>
                <w:rFonts w:ascii="Times New Roman" w:hAnsi="Times New Roman" w:eastAsia="Times New Roman"/>
                <w:sz w:val="16"/>
              </w:rPr>
              <w:t>Out of scope (local, not extracted)</w:t>
            </w:r>
          </w:p>
        </w:tc>
        <w:tc>
          <w:tcPr>
            <w:tcW w:type="dxa" w:w="481"/>
            <w:tcBorders>
              <w:top w:val="nil"/>
              <w:left w:val="nil"/>
              <w:bottom w:val="nil"/>
              <w:right w:val="nil"/>
            </w:tcBorders>
          </w:tcPr>
          <w:p>
            <w:pPr>
              <w:pStyle w:val="IEEETableText"/>
              <w:keepNext/>
              <w:jc w:val="right"/>
            </w:pPr>
            <w:r>
              <w:rPr>
                <w:rFonts w:ascii="Times New Roman" w:hAnsi="Times New Roman" w:eastAsia="Times New Roman"/>
                <w:sz w:val="16"/>
              </w:rPr>
              <w:t>4</w:t>
            </w:r>
          </w:p>
        </w:tc>
        <w:tc>
          <w:tcPr>
            <w:tcW w:type="dxa" w:w="641"/>
            <w:tcBorders>
              <w:top w:val="nil"/>
              <w:left w:val="nil"/>
              <w:bottom w:val="nil"/>
              <w:right w:val="nil"/>
            </w:tcBorders>
          </w:tcPr>
          <w:p>
            <w:pPr>
              <w:pStyle w:val="IEEETableText"/>
              <w:keepNext/>
              <w:jc w:val="right"/>
            </w:pPr>
            <w:r>
              <w:rPr>
                <w:rFonts w:ascii="Times New Roman" w:hAnsi="Times New Roman" w:eastAsia="Times New Roman"/>
                <w:sz w:val="16"/>
              </w:rPr>
              <w:t>20%</w:t>
            </w:r>
          </w:p>
        </w:tc>
      </w:tr>
      <w:tr>
        <w:tc>
          <w:tcPr>
            <w:tcW w:type="dxa" w:w="3846"/>
            <w:tcBorders>
              <w:top w:val="nil"/>
              <w:left w:val="nil"/>
              <w:bottom w:val="nil"/>
              <w:right w:val="nil"/>
            </w:tcBorders>
          </w:tcPr>
          <w:p>
            <w:pPr>
              <w:pStyle w:val="IEEETableText"/>
              <w:keepNext/>
              <w:jc w:val="left"/>
            </w:pPr>
            <w:r>
              <w:rPr>
                <w:rFonts w:ascii="Times New Roman" w:hAnsi="Times New Roman" w:eastAsia="Times New Roman"/>
                <w:sz w:val="16"/>
              </w:rPr>
              <w:t>Chunk boundary</w:t>
            </w:r>
          </w:p>
        </w:tc>
        <w:tc>
          <w:tcPr>
            <w:tcW w:type="dxa" w:w="481"/>
            <w:tcBorders>
              <w:top w:val="nil"/>
              <w:left w:val="nil"/>
              <w:bottom w:val="nil"/>
              <w:right w:val="nil"/>
            </w:tcBorders>
          </w:tcPr>
          <w:p>
            <w:pPr>
              <w:pStyle w:val="IEEETableText"/>
              <w:keepNext/>
              <w:jc w:val="right"/>
            </w:pPr>
            <w:r>
              <w:rPr>
                <w:rFonts w:ascii="Times New Roman" w:hAnsi="Times New Roman" w:eastAsia="Times New Roman"/>
                <w:sz w:val="16"/>
              </w:rPr>
              <w:t>0</w:t>
            </w:r>
          </w:p>
        </w:tc>
        <w:tc>
          <w:tcPr>
            <w:tcW w:type="dxa" w:w="641"/>
            <w:tcBorders>
              <w:top w:val="nil"/>
              <w:left w:val="nil"/>
              <w:bottom w:val="nil"/>
              <w:right w:val="nil"/>
            </w:tcBorders>
          </w:tcPr>
          <w:p>
            <w:pPr>
              <w:pStyle w:val="IEEETableText"/>
              <w:keepNext/>
              <w:jc w:val="right"/>
            </w:pPr>
            <w:r>
              <w:rPr>
                <w:rFonts w:ascii="Times New Roman" w:hAnsi="Times New Roman" w:eastAsia="Times New Roman"/>
                <w:sz w:val="16"/>
              </w:rPr>
              <w:t>0%</w:t>
            </w:r>
          </w:p>
        </w:tc>
      </w:tr>
      <w:tr>
        <w:tc>
          <w:tcPr>
            <w:tcW w:type="dxa" w:w="3846"/>
            <w:tcBorders>
              <w:top w:val="nil"/>
              <w:left w:val="nil"/>
              <w:bottom w:val="single" w:sz="8" w:color="000000"/>
              <w:right w:val="nil"/>
            </w:tcBorders>
          </w:tcPr>
          <w:p>
            <w:pPr>
              <w:pStyle w:val="IEEETableText"/>
              <w:jc w:val="left"/>
            </w:pPr>
            <w:r>
              <w:rPr>
                <w:rFonts w:ascii="Times New Roman" w:hAnsi="Times New Roman" w:eastAsia="Times New Roman"/>
                <w:sz w:val="16"/>
              </w:rPr>
              <w:t>Hallucination</w:t>
            </w:r>
          </w:p>
        </w:tc>
        <w:tc>
          <w:tcPr>
            <w:tcW w:type="dxa" w:w="481"/>
            <w:tcBorders>
              <w:top w:val="nil"/>
              <w:left w:val="nil"/>
              <w:bottom w:val="single" w:sz="8" w:color="000000"/>
              <w:right w:val="nil"/>
            </w:tcBorders>
          </w:tcPr>
          <w:p>
            <w:pPr>
              <w:pStyle w:val="IEEETableText"/>
              <w:jc w:val="right"/>
            </w:pPr>
            <w:r>
              <w:rPr>
                <w:rFonts w:ascii="Times New Roman" w:hAnsi="Times New Roman" w:eastAsia="Times New Roman"/>
                <w:sz w:val="16"/>
              </w:rPr>
              <w:t>0</w:t>
            </w:r>
          </w:p>
        </w:tc>
        <w:tc>
          <w:tcPr>
            <w:tcW w:type="dxa" w:w="641"/>
            <w:tcBorders>
              <w:top w:val="nil"/>
              <w:left w:val="nil"/>
              <w:bottom w:val="single" w:sz="8" w:color="000000"/>
              <w:right w:val="nil"/>
            </w:tcBorders>
          </w:tcPr>
          <w:p>
            <w:pPr>
              <w:pStyle w:val="IEEETableText"/>
              <w:jc w:val="right"/>
            </w:pPr>
            <w:r>
              <w:rPr>
                <w:rFonts w:ascii="Times New Roman" w:hAnsi="Times New Roman" w:eastAsia="Times New Roman"/>
                <w:sz w:val="16"/>
              </w:rPr>
              <w:t>0%</w:t>
            </w:r>
          </w:p>
        </w:tc>
      </w:tr>
    </w:tbl>
    <w:p>
      <w:pPr>
        <w:spacing w:before="0" w:after="120" w:line="240" w:lineRule="auto"/>
        <w:jc w:val="both"/>
      </w:pPr>
    </w:p>
    <w:p>
      <w:pPr>
        <w:spacing w:before="0" w:after="0" w:line="240" w:lineRule="auto"/>
        <w:ind w:firstLine="200"/>
        <w:jc w:val="both"/>
      </w:pPr>
      <w:r>
        <w:rPr>
          <w:rFonts w:ascii="Times New Roman" w:hAnsi="Times New Roman" w:eastAsia="Times New Roman"/>
          <w:b/>
          <w:sz w:val="20"/>
        </w:rPr>
        <w:t>Why the ceiling exists.</w:t>
      </w:r>
      <w:r>
        <w:rPr>
          <w:rFonts w:ascii="Times New Roman" w:hAnsi="Times New Roman" w:eastAsia="Times New Roman"/>
          <w:sz w:val="20"/>
        </w:rPr>
        <w:t xml:space="preserve"> Table V categorises every residual miss by manually reading where its supporting content sits in the transcript. Multi-hop reasoning accounts for 11 of 20 misses (55%): the reasoning is either spread across turns far apart—in one meeting, about 670 turns separate the two halves of a single rationale—or never stated explicitly and must be inferred. The zeros matter as much: no miss was caused by a chunk cut, so a longer context window would not address these failures, and no miss was caused by a fabricated quote, so the misses are omissions rather than inventions.</w:t>
      </w:r>
    </w:p>
    <w:p>
      <w:pPr>
        <w:keepNext/>
        <w:spacing w:before="200" w:after="80" w:line="240" w:lineRule="auto"/>
        <w:jc w:val="center"/>
      </w:pPr>
      <w:r>
        <w:rPr>
          <w:rFonts w:ascii="Times New Roman" w:hAnsi="Times New Roman" w:eastAsia="Times New Roman"/>
          <w:smallCaps/>
          <w:sz w:val="20"/>
        </w:rPr>
        <w:t xml:space="preserve">VII. </w:t>
      </w:r>
      <w:r>
        <w:rPr>
          <w:rFonts w:ascii="Times New Roman" w:hAnsi="Times New Roman" w:eastAsia="Times New Roman"/>
          <w:smallCaps/>
          <w:sz w:val="20"/>
        </w:rPr>
        <w:t>Comparative Analysis</w:t>
      </w:r>
    </w:p>
    <w:p>
      <w:pPr>
        <w:sectPr>
          <w:type w:val="continuous"/>
          <w:pgSz w:w="12240" w:h="15840"/>
          <w:pgMar w:top="1080" w:right="900" w:bottom="1440" w:left="900" w:header="720" w:footer="720" w:gutter="0"/>
          <w:cols w:space="360" w:num="2"/>
          <w:docGrid w:linePitch="360"/>
        </w:sectPr>
      </w:pPr>
    </w:p>
    <w:p>
      <w:pPr>
        <w:keepNext/>
        <w:spacing w:before="160" w:after="0" w:line="240" w:lineRule="auto"/>
        <w:jc w:val="center"/>
      </w:pPr>
      <w:r>
        <w:rPr>
          <w:rFonts w:ascii="Times New Roman" w:hAnsi="Times New Roman" w:eastAsia="Times New Roman"/>
          <w:smallCaps/>
          <w:sz w:val="16"/>
        </w:rPr>
        <w:t>TABLE VI</w:t>
      </w:r>
    </w:p>
    <w:p>
      <w:pPr>
        <w:keepNext/>
        <w:spacing w:before="0" w:after="80" w:line="240" w:lineRule="auto"/>
        <w:jc w:val="center"/>
      </w:pPr>
      <w:r>
        <w:rPr>
          <w:rFonts w:ascii="Times New Roman" w:hAnsi="Times New Roman" w:eastAsia="Times New Roman"/>
          <w:smallCaps/>
          <w:sz w:val="16"/>
        </w:rPr>
        <w:t xml:space="preserve">Comparative analysis on the five hand-labelled meetings. Rows marked </w:t>
      </w:r>
      <w:r>
        <w:rPr>
          <w:rFonts w:ascii="Times New Roman" w:hAnsi="Times New Roman" w:eastAsia="Times New Roman"/>
          <w:smallCaps/>
          <w:sz w:val="16"/>
          <w:vertAlign w:val="superscript"/>
        </w:rPr>
        <w:t>†</w:t>
      </w:r>
      <w:r>
        <w:rPr>
          <w:rFonts w:ascii="Times New Roman" w:hAnsi="Times New Roman" w:eastAsia="Times New Roman"/>
          <w:smallCaps/>
          <w:sz w:val="16"/>
        </w:rPr>
        <w:t xml:space="preserve"> were run on a newer inference runtime (Ollama 0.34.4 / RTX 3090) than the original EDIA row (Ollama 0.32.1 / RTX 3050) with identical model and settings; compare them against the same-runtime EDIA row.</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2088"/>
        <w:gridCol w:w="2088"/>
        <w:gridCol w:w="2088"/>
        <w:gridCol w:w="2088"/>
        <w:gridCol w:w="2088"/>
      </w:tblGrid>
      <w:tr>
        <w:tc>
          <w:tcPr>
            <w:tcW w:type="dxa" w:w="2248"/>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Approach</w:t>
            </w:r>
          </w:p>
        </w:tc>
        <w:tc>
          <w:tcPr>
            <w:tcW w:type="dxa" w:w="1088"/>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Compl. (lex)</w:t>
            </w:r>
          </w:p>
        </w:tc>
        <w:tc>
          <w:tcPr>
            <w:tcW w:type="dxa" w:w="1088"/>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Compl. (sem)</w:t>
            </w:r>
          </w:p>
        </w:tc>
        <w:tc>
          <w:tcPr>
            <w:tcW w:type="dxa" w:w="1523"/>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Unsupp. quotes</w:t>
            </w:r>
          </w:p>
        </w:tc>
        <w:tc>
          <w:tcPr>
            <w:tcW w:type="dxa" w:w="4278"/>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Core failure reason</w:t>
            </w:r>
          </w:p>
        </w:tc>
      </w:tr>
      <w:tr>
        <w:tc>
          <w:tcPr>
            <w:tcW w:type="dxa" w:w="2248"/>
            <w:tcBorders>
              <w:top w:val="nil"/>
              <w:left w:val="nil"/>
              <w:bottom w:val="nil"/>
              <w:right w:val="nil"/>
            </w:tcBorders>
          </w:tcPr>
          <w:p>
            <w:pPr>
              <w:pStyle w:val="IEEETableText"/>
              <w:keepNext/>
              <w:jc w:val="left"/>
            </w:pPr>
            <w:r>
              <w:rPr>
                <w:rFonts w:ascii="Times New Roman" w:hAnsi="Times New Roman" w:eastAsia="Times New Roman"/>
                <w:sz w:val="16"/>
              </w:rPr>
              <w:t>EDIA pipeline</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33.3%</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58.3%</w:t>
            </w:r>
          </w:p>
        </w:tc>
        <w:tc>
          <w:tcPr>
            <w:tcW w:type="dxa" w:w="1523"/>
            <w:tcBorders>
              <w:top w:val="nil"/>
              <w:left w:val="nil"/>
              <w:bottom w:val="nil"/>
              <w:right w:val="nil"/>
            </w:tcBorders>
          </w:tcPr>
          <w:p>
            <w:pPr>
              <w:pStyle w:val="IEEETableText"/>
              <w:keepNext/>
              <w:jc w:val="right"/>
            </w:pPr>
            <w:r>
              <w:rPr>
                <w:rFonts w:ascii="Times New Roman" w:hAnsi="Times New Roman" w:eastAsia="Times New Roman"/>
                <w:sz w:val="16"/>
              </w:rPr>
              <w:t>16.4%</w:t>
            </w:r>
          </w:p>
        </w:tc>
        <w:tc>
          <w:tcPr>
            <w:tcW w:type="dxa" w:w="4278"/>
            <w:tcBorders>
              <w:top w:val="nil"/>
              <w:left w:val="nil"/>
              <w:bottom w:val="nil"/>
              <w:right w:val="nil"/>
            </w:tcBorders>
          </w:tcPr>
          <w:p>
            <w:pPr>
              <w:pStyle w:val="IEEETableText"/>
              <w:keepNext/>
              <w:jc w:val="left"/>
            </w:pPr>
            <w:r>
              <w:rPr>
                <w:rFonts w:ascii="Times New Roman" w:hAnsi="Times New Roman" w:eastAsia="Times New Roman"/>
                <w:sz w:val="16"/>
              </w:rPr>
              <w:t>Multi-hop reasoning across chunks</w:t>
            </w:r>
          </w:p>
        </w:tc>
      </w:tr>
      <w:tr>
        <w:tc>
          <w:tcPr>
            <w:tcW w:type="dxa" w:w="2248"/>
            <w:tcBorders>
              <w:top w:val="nil"/>
              <w:left w:val="nil"/>
              <w:bottom w:val="nil"/>
              <w:right w:val="nil"/>
            </w:tcBorders>
          </w:tcPr>
          <w:p>
            <w:pPr>
              <w:pStyle w:val="IEEETableText"/>
              <w:keepNext/>
              <w:jc w:val="left"/>
            </w:pPr>
            <w:r>
              <w:rPr>
                <w:rFonts w:ascii="Times New Roman" w:hAnsi="Times New Roman" w:eastAsia="Times New Roman"/>
                <w:sz w:val="16"/>
              </w:rPr>
              <w:t>EDIA pipeline, same runtime</w:t>
            </w:r>
            <w:r>
              <w:rPr>
                <w:rFonts w:ascii="Times New Roman" w:hAnsi="Times New Roman" w:eastAsia="Times New Roman"/>
                <w:sz w:val="16"/>
                <w:vertAlign w:val="superscript"/>
              </w:rPr>
              <w:t>†</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27.1%</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58.3%</w:t>
            </w:r>
          </w:p>
        </w:tc>
        <w:tc>
          <w:tcPr>
            <w:tcW w:type="dxa" w:w="1523"/>
            <w:tcBorders>
              <w:top w:val="nil"/>
              <w:left w:val="nil"/>
              <w:bottom w:val="nil"/>
              <w:right w:val="nil"/>
            </w:tcBorders>
          </w:tcPr>
          <w:p>
            <w:pPr>
              <w:pStyle w:val="IEEETableText"/>
              <w:keepNext/>
              <w:jc w:val="right"/>
            </w:pPr>
            <w:r>
              <w:rPr>
                <w:rFonts w:ascii="Times New Roman" w:hAnsi="Times New Roman" w:eastAsia="Times New Roman"/>
                <w:sz w:val="16"/>
              </w:rPr>
              <w:t>14.1%</w:t>
            </w:r>
          </w:p>
        </w:tc>
        <w:tc>
          <w:tcPr>
            <w:tcW w:type="dxa" w:w="4278"/>
            <w:tcBorders>
              <w:top w:val="nil"/>
              <w:left w:val="nil"/>
              <w:bottom w:val="nil"/>
              <w:right w:val="nil"/>
            </w:tcBorders>
          </w:tcPr>
          <w:p>
            <w:pPr>
              <w:pStyle w:val="IEEETableText"/>
              <w:keepNext/>
              <w:jc w:val="left"/>
            </w:pPr>
            <w:r>
              <w:rPr>
                <w:rFonts w:ascii="Times New Roman" w:hAnsi="Times New Roman" w:eastAsia="Times New Roman"/>
                <w:sz w:val="16"/>
              </w:rPr>
              <w:t>(runtime change alone moves lexical completeness)</w:t>
            </w:r>
          </w:p>
        </w:tc>
      </w:tr>
      <w:tr>
        <w:tc>
          <w:tcPr>
            <w:tcW w:type="dxa" w:w="2248"/>
            <w:tcBorders>
              <w:top w:val="nil"/>
              <w:left w:val="nil"/>
              <w:bottom w:val="nil"/>
              <w:right w:val="nil"/>
            </w:tcBorders>
          </w:tcPr>
          <w:p>
            <w:pPr>
              <w:pStyle w:val="IEEETableText"/>
              <w:keepNext/>
              <w:jc w:val="left"/>
            </w:pPr>
            <w:r>
              <w:rPr>
                <w:rFonts w:ascii="Times New Roman" w:hAnsi="Times New Roman" w:eastAsia="Times New Roman"/>
                <w:sz w:val="16"/>
              </w:rPr>
              <w:t>EDIA + chain-of-thought</w:t>
            </w:r>
            <w:r>
              <w:rPr>
                <w:rFonts w:ascii="Times New Roman" w:hAnsi="Times New Roman" w:eastAsia="Times New Roman"/>
                <w:sz w:val="16"/>
                <w:vertAlign w:val="superscript"/>
              </w:rPr>
              <w:t>†</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33.3%</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62.5%</w:t>
            </w:r>
          </w:p>
        </w:tc>
        <w:tc>
          <w:tcPr>
            <w:tcW w:type="dxa" w:w="1523"/>
            <w:tcBorders>
              <w:top w:val="nil"/>
              <w:left w:val="nil"/>
              <w:bottom w:val="nil"/>
              <w:right w:val="nil"/>
            </w:tcBorders>
          </w:tcPr>
          <w:p>
            <w:pPr>
              <w:pStyle w:val="IEEETableText"/>
              <w:keepNext/>
              <w:jc w:val="right"/>
            </w:pPr>
            <w:r>
              <w:rPr>
                <w:rFonts w:ascii="Times New Roman" w:hAnsi="Times New Roman" w:eastAsia="Times New Roman"/>
                <w:sz w:val="16"/>
              </w:rPr>
              <w:t>13.9%</w:t>
            </w:r>
          </w:p>
        </w:tc>
        <w:tc>
          <w:tcPr>
            <w:tcW w:type="dxa" w:w="4278"/>
            <w:tcBorders>
              <w:top w:val="nil"/>
              <w:left w:val="nil"/>
              <w:bottom w:val="nil"/>
              <w:right w:val="nil"/>
            </w:tcBorders>
          </w:tcPr>
          <w:p>
            <w:pPr>
              <w:pStyle w:val="IEEETableText"/>
              <w:keepNext/>
              <w:jc w:val="left"/>
            </w:pPr>
            <w:r>
              <w:rPr>
                <w:rFonts w:ascii="Times New Roman" w:hAnsi="Times New Roman" w:eastAsia="Times New Roman"/>
                <w:sz w:val="16"/>
              </w:rPr>
              <w:t>Better reasoning over content in view, not retrieval</w:t>
            </w:r>
          </w:p>
        </w:tc>
      </w:tr>
      <w:tr>
        <w:tc>
          <w:tcPr>
            <w:tcW w:type="dxa" w:w="2248"/>
            <w:tcBorders>
              <w:top w:val="nil"/>
              <w:left w:val="nil"/>
              <w:bottom w:val="nil"/>
              <w:right w:val="nil"/>
            </w:tcBorders>
          </w:tcPr>
          <w:p>
            <w:pPr>
              <w:pStyle w:val="IEEETableText"/>
              <w:keepNext/>
              <w:jc w:val="left"/>
            </w:pPr>
            <w:r>
              <w:rPr>
                <w:rFonts w:ascii="Times New Roman" w:hAnsi="Times New Roman" w:eastAsia="Times New Roman"/>
                <w:sz w:val="16"/>
              </w:rPr>
              <w:t>GraphRAG (local search)</w:t>
            </w:r>
            <w:r>
              <w:rPr>
                <w:rFonts w:ascii="Times New Roman" w:hAnsi="Times New Roman" w:eastAsia="Times New Roman"/>
                <w:sz w:val="16"/>
                <w:vertAlign w:val="superscript"/>
              </w:rPr>
              <w:t>†</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4.2%</w:t>
            </w:r>
          </w:p>
        </w:tc>
        <w:tc>
          <w:tcPr>
            <w:tcW w:type="dxa" w:w="1088"/>
            <w:tcBorders>
              <w:top w:val="nil"/>
              <w:left w:val="nil"/>
              <w:bottom w:val="nil"/>
              <w:right w:val="nil"/>
            </w:tcBorders>
          </w:tcPr>
          <w:p>
            <w:pPr>
              <w:pStyle w:val="IEEETableText"/>
              <w:keepNext/>
              <w:jc w:val="right"/>
            </w:pPr>
            <w:r>
              <w:rPr>
                <w:rFonts w:ascii="Times New Roman" w:hAnsi="Times New Roman" w:eastAsia="Times New Roman"/>
                <w:sz w:val="16"/>
              </w:rPr>
              <w:t>14.6–18.8%</w:t>
            </w:r>
          </w:p>
        </w:tc>
        <w:tc>
          <w:tcPr>
            <w:tcW w:type="dxa" w:w="1523"/>
            <w:tcBorders>
              <w:top w:val="nil"/>
              <w:left w:val="nil"/>
              <w:bottom w:val="nil"/>
              <w:right w:val="nil"/>
            </w:tcBorders>
          </w:tcPr>
          <w:p>
            <w:pPr>
              <w:pStyle w:val="IEEETableText"/>
              <w:keepNext/>
              <w:jc w:val="right"/>
            </w:pPr>
            <w:r>
              <w:rPr>
                <w:rFonts w:ascii="Times New Roman" w:hAnsi="Times New Roman" w:eastAsia="Times New Roman"/>
                <w:sz w:val="16"/>
              </w:rPr>
              <w:t>–</w:t>
            </w:r>
          </w:p>
        </w:tc>
        <w:tc>
          <w:tcPr>
            <w:tcW w:type="dxa" w:w="4278"/>
            <w:tcBorders>
              <w:top w:val="nil"/>
              <w:left w:val="nil"/>
              <w:bottom w:val="nil"/>
              <w:right w:val="nil"/>
            </w:tcBorders>
          </w:tcPr>
          <w:p>
            <w:pPr>
              <w:pStyle w:val="IEEETableText"/>
              <w:keepNext/>
              <w:jc w:val="left"/>
            </w:pPr>
            <w:r>
              <w:rPr>
                <w:rFonts w:ascii="Times New Roman" w:hAnsi="Times New Roman" w:eastAsia="Times New Roman"/>
                <w:sz w:val="16"/>
              </w:rPr>
              <w:t>Entity graph built for structured text, not conversation</w:t>
            </w:r>
          </w:p>
        </w:tc>
      </w:tr>
      <w:tr>
        <w:tc>
          <w:tcPr>
            <w:tcW w:type="dxa" w:w="2248"/>
            <w:tcBorders>
              <w:top w:val="nil"/>
              <w:left w:val="nil"/>
              <w:bottom w:val="single" w:sz="8" w:color="000000"/>
              <w:right w:val="nil"/>
            </w:tcBorders>
          </w:tcPr>
          <w:p>
            <w:pPr>
              <w:pStyle w:val="IEEETableText"/>
              <w:jc w:val="left"/>
            </w:pPr>
            <w:r>
              <w:rPr>
                <w:rFonts w:ascii="Times New Roman" w:hAnsi="Times New Roman" w:eastAsia="Times New Roman"/>
                <w:sz w:val="16"/>
              </w:rPr>
              <w:t>Multi-hop retrieval</w:t>
            </w:r>
          </w:p>
        </w:tc>
        <w:tc>
          <w:tcPr>
            <w:tcW w:type="dxa" w:w="1088"/>
            <w:tcBorders>
              <w:top w:val="nil"/>
              <w:left w:val="nil"/>
              <w:bottom w:val="single" w:sz="8" w:color="000000"/>
              <w:right w:val="nil"/>
            </w:tcBorders>
          </w:tcPr>
          <w:p>
            <w:pPr>
              <w:pStyle w:val="IEEETableText"/>
              <w:jc w:val="right"/>
            </w:pPr>
            <w:r>
              <w:rPr>
                <w:rFonts w:ascii="Times New Roman" w:hAnsi="Times New Roman" w:eastAsia="Times New Roman"/>
                <w:sz w:val="16"/>
              </w:rPr>
              <w:t>0.0%</w:t>
            </w:r>
          </w:p>
        </w:tc>
        <w:tc>
          <w:tcPr>
            <w:tcW w:type="dxa" w:w="1088"/>
            <w:tcBorders>
              <w:top w:val="nil"/>
              <w:left w:val="nil"/>
              <w:bottom w:val="single" w:sz="8" w:color="000000"/>
              <w:right w:val="nil"/>
            </w:tcBorders>
          </w:tcPr>
          <w:p>
            <w:pPr>
              <w:pStyle w:val="IEEETableText"/>
              <w:jc w:val="right"/>
            </w:pPr>
            <w:r>
              <w:rPr>
                <w:rFonts w:ascii="Times New Roman" w:hAnsi="Times New Roman" w:eastAsia="Times New Roman"/>
                <w:sz w:val="16"/>
              </w:rPr>
              <w:t>12.8%</w:t>
            </w:r>
          </w:p>
        </w:tc>
        <w:tc>
          <w:tcPr>
            <w:tcW w:type="dxa" w:w="1523"/>
            <w:tcBorders>
              <w:top w:val="nil"/>
              <w:left w:val="nil"/>
              <w:bottom w:val="single" w:sz="8" w:color="000000"/>
              <w:right w:val="nil"/>
            </w:tcBorders>
          </w:tcPr>
          <w:p>
            <w:pPr>
              <w:pStyle w:val="IEEETableText"/>
              <w:jc w:val="right"/>
            </w:pPr>
            <w:r>
              <w:rPr>
                <w:rFonts w:ascii="Times New Roman" w:hAnsi="Times New Roman" w:eastAsia="Times New Roman"/>
                <w:sz w:val="16"/>
              </w:rPr>
              <w:t>0 (retrieves only)</w:t>
            </w:r>
          </w:p>
        </w:tc>
        <w:tc>
          <w:tcPr>
            <w:tcW w:type="dxa" w:w="4278"/>
            <w:tcBorders>
              <w:top w:val="nil"/>
              <w:left w:val="nil"/>
              <w:bottom w:val="single" w:sz="8" w:color="000000"/>
              <w:right w:val="nil"/>
            </w:tcBorders>
          </w:tcPr>
          <w:p>
            <w:pPr>
              <w:pStyle w:val="IEEETableText"/>
              <w:jc w:val="left"/>
            </w:pPr>
            <w:r>
              <w:rPr>
                <w:rFonts w:ascii="Times New Roman" w:hAnsi="Times New Roman" w:eastAsia="Times New Roman"/>
                <w:sz w:val="16"/>
              </w:rPr>
              <w:t>Chain unknown in advance; hop 1 fails first</w:t>
            </w:r>
          </w:p>
        </w:tc>
      </w:tr>
    </w:tbl>
    <w:p>
      <w:pPr>
        <w:spacing w:before="0" w:after="120" w:line="240" w:lineRule="auto"/>
        <w:jc w:val="both"/>
      </w:pPr>
    </w:p>
    <w:p>
      <w:pPr>
        <w:sectPr>
          <w:type w:val="continuous"/>
          <w:pgSz w:w="12240" w:h="15840"/>
          <w:pgMar w:top="1080" w:right="900" w:bottom="1440" w:left="900" w:header="720" w:footer="720" w:gutter="0"/>
          <w:cols w:space="360" w:num="1"/>
          <w:docGrid w:linePitch="360"/>
        </w:sectPr>
      </w:pPr>
    </w:p>
    <w:p>
      <w:pPr>
        <w:spacing w:before="0" w:after="0" w:line="240" w:lineRule="auto"/>
        <w:ind w:firstLine="200"/>
        <w:jc w:val="both"/>
      </w:pPr>
      <w:r>
        <w:rPr>
          <w:rFonts w:ascii="Times New Roman" w:hAnsi="Times New Roman" w:eastAsia="Times New Roman"/>
          <w:sz w:val="20"/>
        </w:rPr>
        <w:t>Table VI compares EDIA with three alternatives on the gold meetings, using the same model (Mistral 7B) wherever a model is involved.</w:t>
      </w:r>
    </w:p>
    <w:p>
      <w:pPr>
        <w:spacing w:before="0" w:after="0" w:line="240" w:lineRule="auto"/>
        <w:ind w:firstLine="200"/>
        <w:jc w:val="both"/>
      </w:pPr>
      <w:r>
        <w:rPr>
          <w:rFonts w:ascii="Times New Roman" w:hAnsi="Times New Roman" w:eastAsia="Times New Roman"/>
          <w:b/>
          <w:sz w:val="20"/>
        </w:rPr>
        <w:t>Chain-of-thought.</w:t>
      </w:r>
      <w:r>
        <w:rPr>
          <w:rFonts w:ascii="Times New Roman" w:hAnsi="Times New Roman" w:eastAsia="Times New Roman"/>
          <w:sz w:val="20"/>
        </w:rPr>
        <w:t xml:space="preserve"> We implement genuine chain-of-thought as two calls per chunk: an unconstrained call that writes reasoning notes, then the normal JSON-constrained extraction conditioned on those notes (a single constrained call cannot emit reasoning tokens). Against the plain extractor run on the same runtime, CoT raises completeness by 6.2 points lexical and 4.2 points semantic, i.e. three and two of 48 elements, with unchanged hallucination (13.9% vs. 14.1%). It also emits 50% more records (114 vs. 76), so part of the gain may reflect more attempts rather than better reasoning. Precision bears this out (Table VII): against the same-runtime baseline, CoT’s semantic precision falls from 13.6% to 10.7% and its F1 from 22.0% to 18.3%, so the recall gain does not survive once the extra output is counted. The effect is small in any case, as expected if the bottleneck is locating scattered content rather than reasoning about content already in view.</w:t>
      </w:r>
    </w:p>
    <w:p>
      <w:pPr>
        <w:spacing w:before="0" w:after="0" w:line="240" w:lineRule="auto"/>
        <w:ind w:firstLine="200"/>
        <w:jc w:val="both"/>
      </w:pPr>
      <w:r>
        <w:rPr>
          <w:rFonts w:ascii="Times New Roman" w:hAnsi="Times New Roman" w:eastAsia="Times New Roman"/>
          <w:b/>
          <w:sz w:val="20"/>
        </w:rPr>
        <w:t>GraphRAG.</w:t>
      </w:r>
      <w:r>
        <w:rPr>
          <w:rFonts w:ascii="Times New Roman" w:hAnsi="Times New Roman" w:eastAsia="Times New Roman"/>
          <w:sz w:val="20"/>
        </w:rPr>
        <w:t xml:space="preserve"> We run Microsoft GraphRAG [11] end-to-end with its default configuration and prompts, indexing each meeting and issuing a local-search query for the decisions made and the reasoning given. Its prose answer is restructured into our schema by one deterministic call instructed to restate only; items not supported by the answer (at least 80% of their content words absent) are dropped, since the converter was observed inventing an alternative. GraphRAG recovers 4.2% (lexical) and 14.6% (semantic) of the reasoning, or 18.8% semantic without the support filter. Its answers centre on entities—“the Project Manager”, “the user interface”—rather than on decisions and their reasons, which is the failure mode expected of an entity graph built from disfluent, multi-speaker speech.</w:t>
      </w:r>
    </w:p>
    <w:p>
      <w:pPr>
        <w:spacing w:before="0" w:after="0" w:line="240" w:lineRule="auto"/>
        <w:ind w:firstLine="200"/>
        <w:jc w:val="both"/>
      </w:pPr>
      <w:r>
        <w:rPr>
          <w:rFonts w:ascii="Times New Roman" w:hAnsi="Times New Roman" w:eastAsia="Times New Roman"/>
          <w:b/>
          <w:sz w:val="20"/>
        </w:rPr>
        <w:t>Multi-hop retrieval.</w:t>
      </w:r>
      <w:r>
        <w:rPr>
          <w:rFonts w:ascii="Times New Roman" w:hAnsi="Times New Roman" w:eastAsia="Times New Roman"/>
          <w:sz w:val="20"/>
        </w:rPr>
        <w:t xml:space="preserve"> Following a three-hop chain (rationale, then alternatives conditioned on the rationale, then objections) with TF-IDF retrieval over transcript turns, and given the true decisions as input, the method recovers none of the non-decision elements under lexical matching and 12.8% under semantic matching. We score only what it retrieves: the decision text it is handed often resembles the gold rationale, and counting those matches would credit the method with its own input (doing so would report 12.8% and 28.2%). Lexical matching gives zero because a retrieved turn is long and the gold element short, so their token overlap rarely clears the threshold. The first hop retrieves by similarity to the decision text before anything about </w:t>
      </w:r>
      <w:r>
        <w:rPr>
          <w:rFonts w:ascii="Times New Roman" w:hAnsi="Times New Roman" w:eastAsia="Times New Roman"/>
          <w:i/>
          <w:sz w:val="20"/>
        </w:rPr>
        <w:t>why</w:t>
      </w:r>
      <w:r>
        <w:rPr>
          <w:rFonts w:ascii="Times New Roman" w:hAnsi="Times New Roman" w:eastAsia="Times New Roman"/>
          <w:sz w:val="20"/>
        </w:rPr>
        <w:t xml:space="preserve"> is known, so it often returns adjacent-topic turns, and later hops compound the error.</w:t>
      </w:r>
    </w:p>
    <w:p>
      <w:pPr>
        <w:keepNext/>
        <w:spacing w:before="160" w:after="0" w:line="240" w:lineRule="auto"/>
        <w:jc w:val="center"/>
      </w:pPr>
      <w:r>
        <w:rPr>
          <w:rFonts w:ascii="Times New Roman" w:hAnsi="Times New Roman" w:eastAsia="Times New Roman"/>
          <w:smallCaps/>
          <w:sz w:val="16"/>
        </w:rPr>
        <w:t>TABLE VII</w:t>
      </w:r>
    </w:p>
    <w:p>
      <w:pPr>
        <w:keepNext/>
        <w:spacing w:before="0" w:after="80" w:line="240" w:lineRule="auto"/>
        <w:jc w:val="center"/>
      </w:pPr>
      <w:r>
        <w:rPr>
          <w:rFonts w:ascii="Times New Roman" w:hAnsi="Times New Roman" w:eastAsia="Times New Roman"/>
          <w:smallCaps/>
          <w:sz w:val="16"/>
        </w:rPr>
        <w:t xml:space="preserve">Precision, recall and F1 of the extracted elements on the five hand-labelled meetings (lexical / semantic matching, same thresholds as completeness; recall is completeness). Precision is a lower bound: the hand labels are not exhaustive. </w:t>
      </w:r>
      <w:r>
        <w:rPr>
          <w:rFonts w:ascii="Times New Roman" w:hAnsi="Times New Roman" w:eastAsia="Times New Roman"/>
          <w:smallCaps/>
          <w:sz w:val="16"/>
          <w:vertAlign w:val="superscript"/>
        </w:rPr>
        <w:t>†</w:t>
      </w:r>
      <w:r>
        <w:rPr>
          <w:rFonts w:ascii="Times New Roman" w:hAnsi="Times New Roman" w:eastAsia="Times New Roman"/>
          <w:smallCaps/>
          <w:sz w:val="16"/>
        </w:rPr>
        <w:t xml:space="preserve"> as in Table VI.</w:t>
      </w:r>
    </w:p>
    <w:tbl>
      <w:tblPr>
        <w:tblW w:type="auto" w:w="0"/>
        <w:jc w:val="center"/>
        <w:tblBorders>
          <w:top w:val="nil"/>
          <w:left w:val="nil"/>
          <w:bottom w:val="nil"/>
          <w:right w:val="nil"/>
          <w:insideH w:val="nil"/>
          <w:insideV w:val="nil"/>
        </w:tblBorders>
        <w:tblLayout w:type="fixed"/>
        <w:tblCellMar>
          <w:top w:w="0" w:type="dxa"/>
          <w:left w:w="72" w:type="dxa"/>
          <w:bottom w:w="0" w:type="dxa"/>
          <w:right w:w="72" w:type="dxa"/>
        </w:tblCellMar>
        <w:tblLook w:firstColumn="1" w:firstRow="1" w:lastColumn="0" w:lastRow="0" w:noHBand="0" w:noVBand="1" w:val="04A0"/>
      </w:tblPr>
      <w:tblGrid>
        <w:gridCol w:w="2088"/>
        <w:gridCol w:w="2088"/>
        <w:gridCol w:w="2088"/>
        <w:gridCol w:w="2088"/>
        <w:gridCol w:w="2088"/>
      </w:tblGrid>
      <w:tr>
        <w:tc>
          <w:tcPr>
            <w:tcW w:type="dxa" w:w="1497"/>
            <w:tcBorders>
              <w:top w:val="single" w:sz="8" w:color="000000"/>
              <w:left w:val="nil"/>
              <w:bottom w:val="single" w:sz="4" w:color="000000"/>
              <w:right w:val="nil"/>
            </w:tcBorders>
          </w:tcPr>
          <w:p>
            <w:pPr>
              <w:pStyle w:val="IEEETableText"/>
              <w:keepNext/>
              <w:jc w:val="left"/>
            </w:pPr>
            <w:r>
              <w:rPr>
                <w:rFonts w:ascii="Times New Roman" w:hAnsi="Times New Roman" w:eastAsia="Times New Roman"/>
                <w:sz w:val="16"/>
              </w:rPr>
              <w:t>Approach</w:t>
            </w:r>
          </w:p>
        </w:tc>
        <w:tc>
          <w:tcPr>
            <w:tcW w:type="dxa" w:w="749"/>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Elements</w:t>
            </w:r>
          </w:p>
        </w:tc>
        <w:tc>
          <w:tcPr>
            <w:tcW w:type="dxa" w:w="885"/>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P</w:t>
            </w:r>
          </w:p>
        </w:tc>
        <w:tc>
          <w:tcPr>
            <w:tcW w:type="dxa" w:w="953"/>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R</w:t>
            </w:r>
          </w:p>
        </w:tc>
        <w:tc>
          <w:tcPr>
            <w:tcW w:type="dxa" w:w="885"/>
            <w:tcBorders>
              <w:top w:val="single" w:sz="8" w:color="000000"/>
              <w:left w:val="nil"/>
              <w:bottom w:val="single" w:sz="4" w:color="000000"/>
              <w:right w:val="nil"/>
            </w:tcBorders>
          </w:tcPr>
          <w:p>
            <w:pPr>
              <w:pStyle w:val="IEEETableText"/>
              <w:keepNext/>
              <w:jc w:val="right"/>
            </w:pPr>
            <w:r>
              <w:rPr>
                <w:rFonts w:ascii="Times New Roman" w:hAnsi="Times New Roman" w:eastAsia="Times New Roman"/>
                <w:sz w:val="16"/>
              </w:rPr>
              <w:t>F1</w:t>
            </w:r>
          </w:p>
        </w:tc>
      </w:tr>
      <w:tr>
        <w:tc>
          <w:tcPr>
            <w:tcW w:type="dxa" w:w="1497"/>
            <w:tcBorders>
              <w:top w:val="nil"/>
              <w:left w:val="nil"/>
              <w:bottom w:val="nil"/>
              <w:right w:val="nil"/>
            </w:tcBorders>
          </w:tcPr>
          <w:p>
            <w:pPr>
              <w:pStyle w:val="IEEETableText"/>
              <w:keepNext/>
              <w:jc w:val="left"/>
            </w:pPr>
            <w:r>
              <w:rPr>
                <w:rFonts w:ascii="Times New Roman" w:hAnsi="Times New Roman" w:eastAsia="Times New Roman"/>
                <w:sz w:val="16"/>
              </w:rPr>
              <w:t>EDIA</w:t>
            </w:r>
          </w:p>
        </w:tc>
        <w:tc>
          <w:tcPr>
            <w:tcW w:type="dxa" w:w="749"/>
            <w:tcBorders>
              <w:top w:val="nil"/>
              <w:left w:val="nil"/>
              <w:bottom w:val="nil"/>
              <w:right w:val="nil"/>
            </w:tcBorders>
          </w:tcPr>
          <w:p>
            <w:pPr>
              <w:pStyle w:val="IEEETableText"/>
              <w:keepNext/>
              <w:jc w:val="right"/>
            </w:pPr>
            <w:r>
              <w:rPr>
                <w:rFonts w:ascii="Times New Roman" w:hAnsi="Times New Roman" w:eastAsia="Times New Roman"/>
                <w:sz w:val="16"/>
              </w:rPr>
              <w:t>398</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4.8 / 13.8</w:t>
            </w:r>
          </w:p>
        </w:tc>
        <w:tc>
          <w:tcPr>
            <w:tcW w:type="dxa" w:w="953"/>
            <w:tcBorders>
              <w:top w:val="nil"/>
              <w:left w:val="nil"/>
              <w:bottom w:val="nil"/>
              <w:right w:val="nil"/>
            </w:tcBorders>
          </w:tcPr>
          <w:p>
            <w:pPr>
              <w:pStyle w:val="IEEETableText"/>
              <w:keepNext/>
              <w:jc w:val="right"/>
            </w:pPr>
            <w:r>
              <w:rPr>
                <w:rFonts w:ascii="Times New Roman" w:hAnsi="Times New Roman" w:eastAsia="Times New Roman"/>
                <w:sz w:val="16"/>
              </w:rPr>
              <w:t>33.3 / 58.3</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 xml:space="preserve">8.4 / </w:t>
            </w:r>
            <w:r>
              <w:rPr>
                <w:rFonts w:ascii="Times New Roman" w:hAnsi="Times New Roman" w:eastAsia="Times New Roman"/>
                <w:b/>
                <w:sz w:val="16"/>
              </w:rPr>
              <w:t>22.3</w:t>
            </w:r>
          </w:p>
        </w:tc>
      </w:tr>
      <w:tr>
        <w:tc>
          <w:tcPr>
            <w:tcW w:type="dxa" w:w="1497"/>
            <w:tcBorders>
              <w:top w:val="nil"/>
              <w:left w:val="nil"/>
              <w:bottom w:val="nil"/>
              <w:right w:val="nil"/>
            </w:tcBorders>
          </w:tcPr>
          <w:p>
            <w:pPr>
              <w:pStyle w:val="IEEETableText"/>
              <w:keepNext/>
              <w:jc w:val="left"/>
            </w:pPr>
            <w:r>
              <w:rPr>
                <w:rFonts w:ascii="Times New Roman" w:hAnsi="Times New Roman" w:eastAsia="Times New Roman"/>
                <w:sz w:val="16"/>
              </w:rPr>
              <w:t>EDIA, same runtime</w:t>
            </w:r>
            <w:r>
              <w:rPr>
                <w:rFonts w:ascii="Times New Roman" w:hAnsi="Times New Roman" w:eastAsia="Times New Roman"/>
                <w:sz w:val="16"/>
                <w:vertAlign w:val="superscript"/>
              </w:rPr>
              <w:t>†</w:t>
            </w:r>
          </w:p>
        </w:tc>
        <w:tc>
          <w:tcPr>
            <w:tcW w:type="dxa" w:w="749"/>
            <w:tcBorders>
              <w:top w:val="nil"/>
              <w:left w:val="nil"/>
              <w:bottom w:val="nil"/>
              <w:right w:val="nil"/>
            </w:tcBorders>
          </w:tcPr>
          <w:p>
            <w:pPr>
              <w:pStyle w:val="IEEETableText"/>
              <w:keepNext/>
              <w:jc w:val="right"/>
            </w:pPr>
            <w:r>
              <w:rPr>
                <w:rFonts w:ascii="Times New Roman" w:hAnsi="Times New Roman" w:eastAsia="Times New Roman"/>
                <w:sz w:val="16"/>
              </w:rPr>
              <w:t>346</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4.9 / 13.6</w:t>
            </w:r>
          </w:p>
        </w:tc>
        <w:tc>
          <w:tcPr>
            <w:tcW w:type="dxa" w:w="953"/>
            <w:tcBorders>
              <w:top w:val="nil"/>
              <w:left w:val="nil"/>
              <w:bottom w:val="nil"/>
              <w:right w:val="nil"/>
            </w:tcBorders>
          </w:tcPr>
          <w:p>
            <w:pPr>
              <w:pStyle w:val="IEEETableText"/>
              <w:keepNext/>
              <w:jc w:val="right"/>
            </w:pPr>
            <w:r>
              <w:rPr>
                <w:rFonts w:ascii="Times New Roman" w:hAnsi="Times New Roman" w:eastAsia="Times New Roman"/>
                <w:sz w:val="16"/>
              </w:rPr>
              <w:t>27.1 / 58.3</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8.3 / 22.0</w:t>
            </w:r>
          </w:p>
        </w:tc>
      </w:tr>
      <w:tr>
        <w:tc>
          <w:tcPr>
            <w:tcW w:type="dxa" w:w="1497"/>
            <w:tcBorders>
              <w:top w:val="nil"/>
              <w:left w:val="nil"/>
              <w:bottom w:val="nil"/>
              <w:right w:val="nil"/>
            </w:tcBorders>
          </w:tcPr>
          <w:p>
            <w:pPr>
              <w:pStyle w:val="IEEETableText"/>
              <w:keepNext/>
              <w:jc w:val="left"/>
            </w:pPr>
            <w:r>
              <w:rPr>
                <w:rFonts w:ascii="Times New Roman" w:hAnsi="Times New Roman" w:eastAsia="Times New Roman"/>
                <w:sz w:val="16"/>
              </w:rPr>
              <w:t>EDIA + CoT</w:t>
            </w:r>
            <w:r>
              <w:rPr>
                <w:rFonts w:ascii="Times New Roman" w:hAnsi="Times New Roman" w:eastAsia="Times New Roman"/>
                <w:sz w:val="16"/>
                <w:vertAlign w:val="superscript"/>
              </w:rPr>
              <w:t>†</w:t>
            </w:r>
          </w:p>
        </w:tc>
        <w:tc>
          <w:tcPr>
            <w:tcW w:type="dxa" w:w="749"/>
            <w:tcBorders>
              <w:top w:val="nil"/>
              <w:left w:val="nil"/>
              <w:bottom w:val="nil"/>
              <w:right w:val="nil"/>
            </w:tcBorders>
          </w:tcPr>
          <w:p>
            <w:pPr>
              <w:pStyle w:val="IEEETableText"/>
              <w:keepNext/>
              <w:jc w:val="right"/>
            </w:pPr>
            <w:r>
              <w:rPr>
                <w:rFonts w:ascii="Times New Roman" w:hAnsi="Times New Roman" w:eastAsia="Times New Roman"/>
                <w:sz w:val="16"/>
              </w:rPr>
              <w:t>438</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3.2 / 10.7</w:t>
            </w:r>
          </w:p>
        </w:tc>
        <w:tc>
          <w:tcPr>
            <w:tcW w:type="dxa" w:w="953"/>
            <w:tcBorders>
              <w:top w:val="nil"/>
              <w:left w:val="nil"/>
              <w:bottom w:val="nil"/>
              <w:right w:val="nil"/>
            </w:tcBorders>
          </w:tcPr>
          <w:p>
            <w:pPr>
              <w:pStyle w:val="IEEETableText"/>
              <w:keepNext/>
              <w:jc w:val="right"/>
            </w:pPr>
            <w:r>
              <w:rPr>
                <w:rFonts w:ascii="Times New Roman" w:hAnsi="Times New Roman" w:eastAsia="Times New Roman"/>
                <w:sz w:val="16"/>
              </w:rPr>
              <w:t>33.3 / 62.5</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5.8 / 18.3</w:t>
            </w:r>
          </w:p>
        </w:tc>
      </w:tr>
      <w:tr>
        <w:tc>
          <w:tcPr>
            <w:tcW w:type="dxa" w:w="1497"/>
            <w:tcBorders>
              <w:top w:val="nil"/>
              <w:left w:val="nil"/>
              <w:bottom w:val="nil"/>
              <w:right w:val="nil"/>
            </w:tcBorders>
          </w:tcPr>
          <w:p>
            <w:pPr>
              <w:pStyle w:val="IEEETableText"/>
              <w:keepNext/>
              <w:jc w:val="left"/>
            </w:pPr>
            <w:r>
              <w:rPr>
                <w:rFonts w:ascii="Times New Roman" w:hAnsi="Times New Roman" w:eastAsia="Times New Roman"/>
                <w:sz w:val="16"/>
              </w:rPr>
              <w:t>GraphRAG</w:t>
            </w:r>
            <w:r>
              <w:rPr>
                <w:rFonts w:ascii="Times New Roman" w:hAnsi="Times New Roman" w:eastAsia="Times New Roman"/>
                <w:sz w:val="16"/>
                <w:vertAlign w:val="superscript"/>
              </w:rPr>
              <w:t>†</w:t>
            </w:r>
          </w:p>
        </w:tc>
        <w:tc>
          <w:tcPr>
            <w:tcW w:type="dxa" w:w="749"/>
            <w:tcBorders>
              <w:top w:val="nil"/>
              <w:left w:val="nil"/>
              <w:bottom w:val="nil"/>
              <w:right w:val="nil"/>
            </w:tcBorders>
          </w:tcPr>
          <w:p>
            <w:pPr>
              <w:pStyle w:val="IEEETableText"/>
              <w:keepNext/>
              <w:jc w:val="right"/>
            </w:pPr>
            <w:r>
              <w:rPr>
                <w:rFonts w:ascii="Times New Roman" w:hAnsi="Times New Roman" w:eastAsia="Times New Roman"/>
                <w:sz w:val="16"/>
              </w:rPr>
              <w:t>52</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3.8 / 13.5</w:t>
            </w:r>
          </w:p>
        </w:tc>
        <w:tc>
          <w:tcPr>
            <w:tcW w:type="dxa" w:w="953"/>
            <w:tcBorders>
              <w:top w:val="nil"/>
              <w:left w:val="nil"/>
              <w:bottom w:val="nil"/>
              <w:right w:val="nil"/>
            </w:tcBorders>
          </w:tcPr>
          <w:p>
            <w:pPr>
              <w:pStyle w:val="IEEETableText"/>
              <w:keepNext/>
              <w:jc w:val="right"/>
            </w:pPr>
            <w:r>
              <w:rPr>
                <w:rFonts w:ascii="Times New Roman" w:hAnsi="Times New Roman" w:eastAsia="Times New Roman"/>
                <w:sz w:val="16"/>
              </w:rPr>
              <w:t>4.2 / 14.6</w:t>
            </w:r>
          </w:p>
        </w:tc>
        <w:tc>
          <w:tcPr>
            <w:tcW w:type="dxa" w:w="885"/>
            <w:tcBorders>
              <w:top w:val="nil"/>
              <w:left w:val="nil"/>
              <w:bottom w:val="nil"/>
              <w:right w:val="nil"/>
            </w:tcBorders>
          </w:tcPr>
          <w:p>
            <w:pPr>
              <w:pStyle w:val="IEEETableText"/>
              <w:keepNext/>
              <w:jc w:val="right"/>
            </w:pPr>
            <w:r>
              <w:rPr>
                <w:rFonts w:ascii="Times New Roman" w:hAnsi="Times New Roman" w:eastAsia="Times New Roman"/>
                <w:sz w:val="16"/>
              </w:rPr>
              <w:t>4.0 / 14.0</w:t>
            </w:r>
          </w:p>
        </w:tc>
      </w:tr>
      <w:tr>
        <w:tc>
          <w:tcPr>
            <w:tcW w:type="dxa" w:w="1497"/>
            <w:tcBorders>
              <w:top w:val="nil"/>
              <w:left w:val="nil"/>
              <w:bottom w:val="single" w:sz="8" w:color="000000"/>
              <w:right w:val="nil"/>
            </w:tcBorders>
          </w:tcPr>
          <w:p>
            <w:pPr>
              <w:pStyle w:val="IEEETableText"/>
              <w:jc w:val="left"/>
            </w:pPr>
            <w:r>
              <w:rPr>
                <w:rFonts w:ascii="Times New Roman" w:hAnsi="Times New Roman" w:eastAsia="Times New Roman"/>
                <w:sz w:val="16"/>
              </w:rPr>
              <w:t>Multi-hop retrieval</w:t>
            </w:r>
          </w:p>
        </w:tc>
        <w:tc>
          <w:tcPr>
            <w:tcW w:type="dxa" w:w="749"/>
            <w:tcBorders>
              <w:top w:val="nil"/>
              <w:left w:val="nil"/>
              <w:bottom w:val="single" w:sz="8" w:color="000000"/>
              <w:right w:val="nil"/>
            </w:tcBorders>
          </w:tcPr>
          <w:p>
            <w:pPr>
              <w:pStyle w:val="IEEETableText"/>
              <w:jc w:val="right"/>
            </w:pPr>
            <w:r>
              <w:rPr>
                <w:rFonts w:ascii="Times New Roman" w:hAnsi="Times New Roman" w:eastAsia="Times New Roman"/>
                <w:sz w:val="16"/>
              </w:rPr>
              <w:t>27</w:t>
            </w:r>
          </w:p>
        </w:tc>
        <w:tc>
          <w:tcPr>
            <w:tcW w:type="dxa" w:w="885"/>
            <w:tcBorders>
              <w:top w:val="nil"/>
              <w:left w:val="nil"/>
              <w:bottom w:val="single" w:sz="8" w:color="000000"/>
              <w:right w:val="nil"/>
            </w:tcBorders>
          </w:tcPr>
          <w:p>
            <w:pPr>
              <w:pStyle w:val="IEEETableText"/>
              <w:jc w:val="right"/>
            </w:pPr>
            <w:r>
              <w:rPr>
                <w:rFonts w:ascii="Times New Roman" w:hAnsi="Times New Roman" w:eastAsia="Times New Roman"/>
                <w:sz w:val="16"/>
              </w:rPr>
              <w:t>0.0 / 40.7</w:t>
            </w:r>
          </w:p>
        </w:tc>
        <w:tc>
          <w:tcPr>
            <w:tcW w:type="dxa" w:w="953"/>
            <w:tcBorders>
              <w:top w:val="nil"/>
              <w:left w:val="nil"/>
              <w:bottom w:val="single" w:sz="8" w:color="000000"/>
              <w:right w:val="nil"/>
            </w:tcBorders>
          </w:tcPr>
          <w:p>
            <w:pPr>
              <w:pStyle w:val="IEEETableText"/>
              <w:jc w:val="right"/>
            </w:pPr>
            <w:r>
              <w:rPr>
                <w:rFonts w:ascii="Times New Roman" w:hAnsi="Times New Roman" w:eastAsia="Times New Roman"/>
                <w:sz w:val="16"/>
              </w:rPr>
              <w:t>0.0 / 12.8</w:t>
            </w:r>
          </w:p>
        </w:tc>
        <w:tc>
          <w:tcPr>
            <w:tcW w:type="dxa" w:w="885"/>
            <w:tcBorders>
              <w:top w:val="nil"/>
              <w:left w:val="nil"/>
              <w:bottom w:val="single" w:sz="8" w:color="000000"/>
              <w:right w:val="nil"/>
            </w:tcBorders>
          </w:tcPr>
          <w:p>
            <w:pPr>
              <w:pStyle w:val="IEEETableText"/>
              <w:jc w:val="right"/>
            </w:pPr>
            <w:r>
              <w:rPr>
                <w:rFonts w:ascii="Times New Roman" w:hAnsi="Times New Roman" w:eastAsia="Times New Roman"/>
                <w:sz w:val="16"/>
              </w:rPr>
              <w:t>0.0 / 19.5</w:t>
            </w:r>
          </w:p>
        </w:tc>
      </w:tr>
    </w:tbl>
    <w:p>
      <w:pPr>
        <w:spacing w:before="0" w:after="120" w:line="240" w:lineRule="auto"/>
        <w:jc w:val="both"/>
      </w:pPr>
    </w:p>
    <w:p>
      <w:pPr>
        <w:spacing w:before="0" w:after="0" w:line="240" w:lineRule="auto"/>
        <w:ind w:firstLine="200"/>
        <w:jc w:val="both"/>
      </w:pPr>
      <w:r>
        <w:rPr>
          <w:rFonts w:ascii="Times New Roman" w:hAnsi="Times New Roman" w:eastAsia="Times New Roman"/>
          <w:b/>
          <w:sz w:val="20"/>
        </w:rPr>
        <w:t>Precision and F1.</w:t>
      </w:r>
      <w:r>
        <w:rPr>
          <w:rFonts w:ascii="Times New Roman" w:hAnsi="Times New Roman" w:eastAsia="Times New Roman"/>
          <w:sz w:val="20"/>
        </w:rPr>
        <w:t xml:space="preserve"> Completeness alone rewards emitting more, so Table VII adds precision: the share of extracted elements that match some hand-labelled element at the completeness threshold. EDIA has the highest semantic F1 (22.3%). Absolute precision is low for every generative method because the gold standard lists only the 48 key reasoning elements, while EDIA emits 398 elements. Many are the same element found again in another chunk (counting each gold element at most once lowers EDIA’s semantic precision to 7.0%), and many are plausible reasoning the annotators did not record, which this measure scores as wrong. Precision should therefore be compared across methods rather than read as an error rate. Multi-hop retrieval’s high semantic precision reflects its small output (27 elements, copied verbatim from the transcript), not better recovery: its recall is 12.8%.</w:t>
      </w:r>
    </w:p>
    <w:p>
      <w:pPr>
        <w:spacing w:before="0" w:after="0" w:line="240" w:lineRule="auto"/>
        <w:ind w:firstLine="200"/>
        <w:jc w:val="both"/>
      </w:pPr>
      <w:r>
        <w:rPr>
          <w:rFonts w:ascii="Times New Roman" w:hAnsi="Times New Roman" w:eastAsia="Times New Roman"/>
          <w:b/>
          <w:sz w:val="20"/>
        </w:rPr>
        <w:t>Runtime sensitivity.</w:t>
      </w:r>
      <w:r>
        <w:rPr>
          <w:rFonts w:ascii="Times New Roman" w:hAnsi="Times New Roman" w:eastAsia="Times New Roman"/>
          <w:sz w:val="20"/>
        </w:rPr>
        <w:t xml:space="preserve"> Replaying the plain extractor on a newer inference runtime, with identical weights and deterministic settings, changed lexical completeness by </w:t>
      </w:r>
      <w:r>
        <w:rPr>
          <w:rFonts w:ascii="Times New Roman" w:hAnsi="Times New Roman" w:eastAsia="Times New Roman"/>
          <w:sz w:val="20"/>
        </w:rPr>
        <w:t>−6.2</w:t>
      </w:r>
      <w:r>
        <w:rPr>
          <w:rFonts w:ascii="Times New Roman" w:hAnsi="Times New Roman" w:eastAsia="Times New Roman"/>
          <w:sz w:val="20"/>
        </w:rPr>
        <w:t xml:space="preserve"> points while leaving semantic completeness unchanged. Even within one runtime and session, repeating the LLM judge’s calls on the same 296 elements (as part of the ensemble run) returned a different confidence for 7 of them, changing 3 verdicts; we did not isolate the cause. We therefore compare every method against a baseline run on the same runtime, and we recommend that extraction studies report the inference engine version alongside the model and not treat temperature-0 decoding as bit-for-bit reproducible.</w:t>
      </w:r>
    </w:p>
    <w:p>
      <w:pPr>
        <w:keepNext/>
        <w:spacing w:before="200" w:after="80" w:line="240" w:lineRule="auto"/>
        <w:jc w:val="center"/>
      </w:pPr>
      <w:r>
        <w:rPr>
          <w:rFonts w:ascii="Times New Roman" w:hAnsi="Times New Roman" w:eastAsia="Times New Roman"/>
          <w:smallCaps/>
          <w:sz w:val="20"/>
        </w:rPr>
        <w:t xml:space="preserve">VIII. </w:t>
      </w:r>
      <w:r>
        <w:rPr>
          <w:rFonts w:ascii="Times New Roman" w:hAnsi="Times New Roman" w:eastAsia="Times New Roman"/>
          <w:smallCaps/>
          <w:sz w:val="20"/>
        </w:rPr>
        <w:t>Discussion</w:t>
      </w:r>
    </w:p>
    <w:p>
      <w:pPr>
        <w:spacing w:before="0" w:after="0" w:line="240" w:lineRule="auto"/>
        <w:ind w:firstLine="200"/>
        <w:jc w:val="both"/>
      </w:pPr>
      <w:r>
        <w:rPr>
          <w:rFonts w:ascii="Times New Roman" w:hAnsi="Times New Roman" w:eastAsia="Times New Roman"/>
          <w:b/>
          <w:sz w:val="20"/>
        </w:rPr>
        <w:t>What would break the ceiling.</w:t>
      </w:r>
      <w:r>
        <w:rPr>
          <w:rFonts w:ascii="Times New Roman" w:hAnsi="Times New Roman" w:eastAsia="Times New Roman"/>
          <w:sz w:val="20"/>
        </w:rPr>
        <w:t xml:space="preserve"> The dominant misses are reasoning that is scattered or implicit. Neither longer context (no chunk-boundary misses) nor better answer-time reasoning (CoT’s small recall gain is offset by lower precision) addresses them, and neither entity-graph nor chained retrieval locates them. Progress likely requires methods that track a decision’s discourse across a whole meeting—linking later turns back to the proposal they respond to—before extraction, rather than retrieving by surface similarity.</w:t>
      </w:r>
    </w:p>
    <w:p>
      <w:pPr>
        <w:spacing w:before="0" w:after="0" w:line="240" w:lineRule="auto"/>
        <w:ind w:firstLine="200"/>
        <w:jc w:val="both"/>
      </w:pPr>
      <w:r>
        <w:rPr>
          <w:rFonts w:ascii="Times New Roman" w:hAnsi="Times New Roman" w:eastAsia="Times New Roman"/>
          <w:b/>
          <w:sz w:val="20"/>
        </w:rPr>
        <w:t>Limitations.</w:t>
      </w:r>
      <w:r>
        <w:rPr>
          <w:rFonts w:ascii="Times New Roman" w:hAnsi="Times New Roman" w:eastAsia="Times New Roman"/>
          <w:sz w:val="20"/>
        </w:rPr>
        <w:t xml:space="preserve"> Completeness is reported on five hand-labelled Product meetings only. The corpus-wide run reports hallucination and verbatim-grounding rates across all three domains, which require no reasoning ground truth; we therefore cannot claim the completeness ceiling holds across domains, only that the objective grounding measures do. The corpus tier’s labels are NLI-produced and, given NLI’s weakness on present content, overstate the gap rate. The human spot-check is small: one annotator, 52 elements from three pairs, with no Product pair and no second annotator, so no inter-annotator agreement (Cohen’s kappa) is available and the estimated false-gap rate is imprecise. Synthetic transcripts are model-written and cleaner than real meetings. QMSum summaries stand in for filed decision records. All models are 7B-scale open models run locally; larger models may behave differently, and we leave that comparison to future work.</w:t>
      </w:r>
    </w:p>
    <w:p>
      <w:pPr>
        <w:spacing w:before="0" w:after="0" w:line="240" w:lineRule="auto"/>
        <w:ind w:firstLine="200"/>
        <w:jc w:val="both"/>
      </w:pPr>
      <w:r>
        <w:rPr>
          <w:rFonts w:ascii="Times New Roman" w:hAnsi="Times New Roman" w:eastAsia="Times New Roman"/>
          <w:b/>
          <w:sz w:val="20"/>
        </w:rPr>
        <w:t>Reporting practice.</w:t>
      </w:r>
      <w:r>
        <w:rPr>
          <w:rFonts w:ascii="Times New Roman" w:hAnsi="Times New Roman" w:eastAsia="Times New Roman"/>
          <w:sz w:val="20"/>
        </w:rPr>
        <w:t xml:space="preserve"> Two practices changed our conclusions and we recommend them generally: reporting balanced accuracy and present-class F1 alongside gap F1 when the gap rate is high, and reporting both lexical and semantic completeness.</w:t>
      </w:r>
    </w:p>
    <w:p>
      <w:pPr>
        <w:keepNext/>
        <w:spacing w:before="200" w:after="80" w:line="240" w:lineRule="auto"/>
        <w:jc w:val="center"/>
      </w:pPr>
      <w:r>
        <w:rPr>
          <w:rFonts w:ascii="Times New Roman" w:hAnsi="Times New Roman" w:eastAsia="Times New Roman"/>
          <w:smallCaps/>
          <w:sz w:val="20"/>
        </w:rPr>
        <w:t xml:space="preserve">IX. </w:t>
      </w:r>
      <w:r>
        <w:rPr>
          <w:rFonts w:ascii="Times New Roman" w:hAnsi="Times New Roman" w:eastAsia="Times New Roman"/>
          <w:smallCaps/>
          <w:sz w:val="20"/>
        </w:rPr>
        <w:t>Conclusion</w:t>
      </w:r>
    </w:p>
    <w:p>
      <w:pPr>
        <w:spacing w:before="0" w:after="0" w:line="240" w:lineRule="auto"/>
        <w:ind w:firstLine="200"/>
        <w:jc w:val="both"/>
      </w:pPr>
      <w:r>
        <w:rPr>
          <w:rFonts w:ascii="Times New Roman" w:hAnsi="Times New Roman" w:eastAsia="Times New Roman"/>
          <w:sz w:val="20"/>
        </w:rPr>
        <w:t>Decision-context gap detection in enterprise meetings is partially achievable with current open models. A simple lexical detector outperforms NLI and an LLM judge at recognising which reasoning survived into a summary, and extraction recovers 33–58% of the reasoning a human identifies. The remainder is dominated by multi-hop reasoning scattered across distant turns or left implicit, and chain-of-thought, GraphRAG and multi-hop retrieval do not recover it. The ceiling is structural rather than an artefact of a particular method, and breaking it requires modelling how reasoning unfolds across an entire conversation.</w:t>
      </w:r>
    </w:p>
    <w:p>
      <w:pPr>
        <w:keepNext/>
        <w:spacing w:before="200" w:after="80" w:line="240" w:lineRule="auto"/>
        <w:jc w:val="center"/>
      </w:pPr>
      <w:r>
        <w:rPr>
          <w:rFonts w:ascii="Times New Roman" w:hAnsi="Times New Roman" w:eastAsia="Times New Roman"/>
          <w:smallCaps/>
          <w:sz w:val="20"/>
        </w:rPr>
        <w:t>References</w:t>
      </w:r>
    </w:p>
    <w:p>
      <w:pPr>
        <w:tabs>
          <w:tab w:pos="432" w:val="left"/>
        </w:tabs>
        <w:spacing w:before="0" w:after="0" w:line="240" w:lineRule="auto"/>
        <w:ind w:left="432" w:hanging="432"/>
        <w:jc w:val="both"/>
      </w:pPr>
      <w:r>
        <w:rPr>
          <w:rFonts w:ascii="Times New Roman" w:hAnsi="Times New Roman" w:eastAsia="Times New Roman"/>
          <w:sz w:val="16"/>
        </w:rPr>
        <w:t>[1]</w:t>
        <w:tab/>
      </w:r>
      <w:r>
        <w:rPr>
          <w:rFonts w:ascii="Times New Roman" w:hAnsi="Times New Roman" w:eastAsia="Times New Roman"/>
          <w:sz w:val="16"/>
        </w:rPr>
        <w:t xml:space="preserve">M. Zhong et al., “QMSum: A New Benchmark for Query-based Multi-domain Meeting Summarization,” </w:t>
      </w:r>
      <w:r>
        <w:rPr>
          <w:rFonts w:ascii="Times New Roman" w:hAnsi="Times New Roman" w:eastAsia="Times New Roman"/>
          <w:sz w:val="16"/>
        </w:rPr>
        <w:t xml:space="preserve">in </w:t>
      </w:r>
      <w:r>
        <w:rPr>
          <w:rFonts w:ascii="Times New Roman" w:hAnsi="Times New Roman" w:eastAsia="Times New Roman"/>
          <w:i/>
          <w:sz w:val="16"/>
        </w:rPr>
        <w:t>Proc. Conf. North American Chapter of the Association for Computational Linguistics (NAACL-HLT)</w:t>
      </w:r>
      <w:r>
        <w:rPr>
          <w:rFonts w:ascii="Times New Roman" w:hAnsi="Times New Roman" w:eastAsia="Times New Roman"/>
          <w:sz w:val="16"/>
        </w:rPr>
        <w:t>, 2021, pp. 5905–5921.</w:t>
      </w:r>
    </w:p>
    <w:p>
      <w:pPr>
        <w:tabs>
          <w:tab w:pos="432" w:val="left"/>
        </w:tabs>
        <w:spacing w:before="0" w:after="0" w:line="240" w:lineRule="auto"/>
        <w:ind w:left="432" w:hanging="432"/>
        <w:jc w:val="both"/>
      </w:pPr>
      <w:r>
        <w:rPr>
          <w:rFonts w:ascii="Times New Roman" w:hAnsi="Times New Roman" w:eastAsia="Times New Roman"/>
          <w:sz w:val="16"/>
        </w:rPr>
        <w:t>[2]</w:t>
        <w:tab/>
      </w:r>
      <w:r>
        <w:rPr>
          <w:rFonts w:ascii="Times New Roman" w:hAnsi="Times New Roman" w:eastAsia="Times New Roman"/>
          <w:sz w:val="16"/>
        </w:rPr>
        <w:t xml:space="preserve">A. Janin et al., “The ICSI Meeting Corpus,” </w:t>
      </w:r>
      <w:r>
        <w:rPr>
          <w:rFonts w:ascii="Times New Roman" w:hAnsi="Times New Roman" w:eastAsia="Times New Roman"/>
          <w:sz w:val="16"/>
        </w:rPr>
        <w:t xml:space="preserve">in </w:t>
      </w:r>
      <w:r>
        <w:rPr>
          <w:rFonts w:ascii="Times New Roman" w:hAnsi="Times New Roman" w:eastAsia="Times New Roman"/>
          <w:i/>
          <w:sz w:val="16"/>
        </w:rPr>
        <w:t>Proc. IEEE Int. Conf. Acoustics, Speech, and Signal Processing (ICASSP)</w:t>
      </w:r>
      <w:r>
        <w:rPr>
          <w:rFonts w:ascii="Times New Roman" w:hAnsi="Times New Roman" w:eastAsia="Times New Roman"/>
          <w:sz w:val="16"/>
        </w:rPr>
        <w:t>, 2003, pp. I-364–I-367.</w:t>
      </w:r>
    </w:p>
    <w:p>
      <w:pPr>
        <w:tabs>
          <w:tab w:pos="432" w:val="left"/>
        </w:tabs>
        <w:spacing w:before="0" w:after="0" w:line="240" w:lineRule="auto"/>
        <w:ind w:left="432" w:hanging="432"/>
        <w:jc w:val="both"/>
      </w:pPr>
      <w:r>
        <w:rPr>
          <w:rFonts w:ascii="Times New Roman" w:hAnsi="Times New Roman" w:eastAsia="Times New Roman"/>
          <w:sz w:val="16"/>
        </w:rPr>
        <w:t>[3]</w:t>
        <w:tab/>
      </w:r>
      <w:r>
        <w:rPr>
          <w:rFonts w:ascii="Times New Roman" w:hAnsi="Times New Roman" w:eastAsia="Times New Roman"/>
          <w:sz w:val="16"/>
        </w:rPr>
        <w:t xml:space="preserve">J. Carletta et al., “The AMI Meeting Corpus: A Pre-announcement,” </w:t>
      </w:r>
      <w:r>
        <w:rPr>
          <w:rFonts w:ascii="Times New Roman" w:hAnsi="Times New Roman" w:eastAsia="Times New Roman"/>
          <w:sz w:val="16"/>
        </w:rPr>
        <w:t xml:space="preserve">in </w:t>
      </w:r>
      <w:r>
        <w:rPr>
          <w:rFonts w:ascii="Times New Roman" w:hAnsi="Times New Roman" w:eastAsia="Times New Roman"/>
          <w:i/>
          <w:sz w:val="16"/>
        </w:rPr>
        <w:t>Machine Learning for Multimodal Interaction (MLMI), LNCS vol. 3869</w:t>
      </w:r>
      <w:r>
        <w:rPr>
          <w:rFonts w:ascii="Times New Roman" w:hAnsi="Times New Roman" w:eastAsia="Times New Roman"/>
          <w:sz w:val="16"/>
        </w:rPr>
        <w:t>, Springer</w:t>
      </w:r>
      <w:r>
        <w:rPr>
          <w:rFonts w:ascii="Times New Roman" w:hAnsi="Times New Roman" w:eastAsia="Times New Roman"/>
          <w:sz w:val="16"/>
        </w:rPr>
        <w:t>, 2006, pp. 28–39.</w:t>
      </w:r>
    </w:p>
    <w:p>
      <w:pPr>
        <w:tabs>
          <w:tab w:pos="432" w:val="left"/>
        </w:tabs>
        <w:spacing w:before="0" w:after="0" w:line="240" w:lineRule="auto"/>
        <w:ind w:left="432" w:hanging="432"/>
        <w:jc w:val="both"/>
      </w:pPr>
      <w:r>
        <w:rPr>
          <w:rFonts w:ascii="Times New Roman" w:hAnsi="Times New Roman" w:eastAsia="Times New Roman"/>
          <w:sz w:val="16"/>
        </w:rPr>
        <w:t>[4]</w:t>
        <w:tab/>
      </w:r>
      <w:r>
        <w:rPr>
          <w:rFonts w:ascii="Times New Roman" w:hAnsi="Times New Roman" w:eastAsia="Times New Roman"/>
          <w:sz w:val="16"/>
        </w:rPr>
        <w:t xml:space="preserve">A. Williams, N. Nangia, and S. R. Bowman, “A Broad-Coverage Challenge Corpus for Sentence Understanding through Inference,” </w:t>
      </w:r>
      <w:r>
        <w:rPr>
          <w:rFonts w:ascii="Times New Roman" w:hAnsi="Times New Roman" w:eastAsia="Times New Roman"/>
          <w:sz w:val="16"/>
        </w:rPr>
        <w:t xml:space="preserve">in </w:t>
      </w:r>
      <w:r>
        <w:rPr>
          <w:rFonts w:ascii="Times New Roman" w:hAnsi="Times New Roman" w:eastAsia="Times New Roman"/>
          <w:i/>
          <w:sz w:val="16"/>
        </w:rPr>
        <w:t>Proc. Conf. North American Chapter of the Association for Computational Linguistics (NAACL-HLT)</w:t>
      </w:r>
      <w:r>
        <w:rPr>
          <w:rFonts w:ascii="Times New Roman" w:hAnsi="Times New Roman" w:eastAsia="Times New Roman"/>
          <w:sz w:val="16"/>
        </w:rPr>
        <w:t>, 2018, pp. 1112–1122.</w:t>
      </w:r>
    </w:p>
    <w:p>
      <w:pPr>
        <w:tabs>
          <w:tab w:pos="432" w:val="left"/>
        </w:tabs>
        <w:spacing w:before="0" w:after="0" w:line="240" w:lineRule="auto"/>
        <w:ind w:left="432" w:hanging="432"/>
        <w:jc w:val="both"/>
      </w:pPr>
      <w:r>
        <w:rPr>
          <w:rFonts w:ascii="Times New Roman" w:hAnsi="Times New Roman" w:eastAsia="Times New Roman"/>
          <w:sz w:val="16"/>
        </w:rPr>
        <w:t>[5]</w:t>
        <w:tab/>
      </w:r>
      <w:r>
        <w:rPr>
          <w:rFonts w:ascii="Times New Roman" w:hAnsi="Times New Roman" w:eastAsia="Times New Roman"/>
          <w:sz w:val="16"/>
        </w:rPr>
        <w:t xml:space="preserve">Y. Liu et al., “RoBERTa: A Robustly Optimized BERT Pretraining Approach,” </w:t>
      </w:r>
      <w:r>
        <w:rPr>
          <w:rFonts w:ascii="Times New Roman" w:hAnsi="Times New Roman" w:eastAsia="Times New Roman"/>
          <w:i/>
          <w:sz w:val="16"/>
        </w:rPr>
        <w:t>arXiv preprint arXiv:1907.11692</w:t>
      </w:r>
      <w:r>
        <w:rPr>
          <w:rFonts w:ascii="Times New Roman" w:hAnsi="Times New Roman" w:eastAsia="Times New Roman"/>
          <w:sz w:val="16"/>
        </w:rPr>
        <w:t>, 2019.</w:t>
      </w:r>
    </w:p>
    <w:p>
      <w:pPr>
        <w:tabs>
          <w:tab w:pos="432" w:val="left"/>
        </w:tabs>
        <w:spacing w:before="0" w:after="0" w:line="240" w:lineRule="auto"/>
        <w:ind w:left="432" w:hanging="432"/>
        <w:jc w:val="both"/>
      </w:pPr>
      <w:r>
        <w:rPr>
          <w:rFonts w:ascii="Times New Roman" w:hAnsi="Times New Roman" w:eastAsia="Times New Roman"/>
          <w:sz w:val="16"/>
        </w:rPr>
        <w:t>[6]</w:t>
        <w:tab/>
      </w:r>
      <w:r>
        <w:rPr>
          <w:rFonts w:ascii="Times New Roman" w:hAnsi="Times New Roman" w:eastAsia="Times New Roman"/>
          <w:sz w:val="16"/>
        </w:rPr>
        <w:t xml:space="preserve">P. Laban, T. Schnabel, P. N. Bennett, and M. A. Hearst, “SummaC: Re-Visiting NLI-based Models for Inconsistency Detection in Summarization,” </w:t>
      </w:r>
      <w:r>
        <w:rPr>
          <w:rFonts w:ascii="Times New Roman" w:hAnsi="Times New Roman" w:eastAsia="Times New Roman"/>
          <w:i/>
          <w:sz w:val="16"/>
        </w:rPr>
        <w:t>Transactions of the Association for Computational Linguistics</w:t>
      </w:r>
      <w:r>
        <w:rPr>
          <w:rFonts w:ascii="Times New Roman" w:hAnsi="Times New Roman" w:eastAsia="Times New Roman"/>
          <w:sz w:val="16"/>
        </w:rPr>
        <w:t>, vol. 10, pp. 163–177, 2022.</w:t>
      </w:r>
    </w:p>
    <w:p>
      <w:pPr>
        <w:tabs>
          <w:tab w:pos="432" w:val="left"/>
        </w:tabs>
        <w:spacing w:before="0" w:after="0" w:line="240" w:lineRule="auto"/>
        <w:ind w:left="432" w:hanging="432"/>
        <w:jc w:val="both"/>
      </w:pPr>
      <w:r>
        <w:rPr>
          <w:rFonts w:ascii="Times New Roman" w:hAnsi="Times New Roman" w:eastAsia="Times New Roman"/>
          <w:sz w:val="16"/>
        </w:rPr>
        <w:t>[7]</w:t>
        <w:tab/>
      </w:r>
      <w:r>
        <w:rPr>
          <w:rFonts w:ascii="Times New Roman" w:hAnsi="Times New Roman" w:eastAsia="Times New Roman"/>
          <w:sz w:val="16"/>
        </w:rPr>
        <w:t xml:space="preserve">W. Kryściński, B. McCann, C. Xiong, and R. Socher, “Evaluating the Factual Consistency of Abstractive Text Summarization,” </w:t>
      </w:r>
      <w:r>
        <w:rPr>
          <w:rFonts w:ascii="Times New Roman" w:hAnsi="Times New Roman" w:eastAsia="Times New Roman"/>
          <w:sz w:val="16"/>
        </w:rPr>
        <w:t xml:space="preserve">in </w:t>
      </w:r>
      <w:r>
        <w:rPr>
          <w:rFonts w:ascii="Times New Roman" w:hAnsi="Times New Roman" w:eastAsia="Times New Roman"/>
          <w:i/>
          <w:sz w:val="16"/>
        </w:rPr>
        <w:t>Proc. Conf. Empirical Methods in Natural Language Processing (EMNLP)</w:t>
      </w:r>
      <w:r>
        <w:rPr>
          <w:rFonts w:ascii="Times New Roman" w:hAnsi="Times New Roman" w:eastAsia="Times New Roman"/>
          <w:sz w:val="16"/>
        </w:rPr>
        <w:t>, 2020, pp. 9332–9346.</w:t>
      </w:r>
    </w:p>
    <w:p>
      <w:pPr>
        <w:tabs>
          <w:tab w:pos="432" w:val="left"/>
        </w:tabs>
        <w:spacing w:before="0" w:after="0" w:line="240" w:lineRule="auto"/>
        <w:ind w:left="432" w:hanging="432"/>
        <w:jc w:val="both"/>
      </w:pPr>
      <w:r>
        <w:rPr>
          <w:rFonts w:ascii="Times New Roman" w:hAnsi="Times New Roman" w:eastAsia="Times New Roman"/>
          <w:sz w:val="16"/>
        </w:rPr>
        <w:t>[8]</w:t>
        <w:tab/>
      </w:r>
      <w:r>
        <w:rPr>
          <w:rFonts w:ascii="Times New Roman" w:hAnsi="Times New Roman" w:eastAsia="Times New Roman"/>
          <w:sz w:val="16"/>
        </w:rPr>
        <w:t xml:space="preserve">L. Zheng et al., “Judging LLM-as-a-Judge with MT-Bench and Chatbot Arena,” </w:t>
      </w:r>
      <w:r>
        <w:rPr>
          <w:rFonts w:ascii="Times New Roman" w:hAnsi="Times New Roman" w:eastAsia="Times New Roman"/>
          <w:sz w:val="16"/>
        </w:rPr>
        <w:t xml:space="preserve">in </w:t>
      </w:r>
      <w:r>
        <w:rPr>
          <w:rFonts w:ascii="Times New Roman" w:hAnsi="Times New Roman" w:eastAsia="Times New Roman"/>
          <w:i/>
          <w:sz w:val="16"/>
        </w:rPr>
        <w:t>Advances in Neural Information Processing Systems (NeurIPS), Datasets and Benchmarks Track</w:t>
      </w:r>
      <w:r>
        <w:rPr>
          <w:rFonts w:ascii="Times New Roman" w:hAnsi="Times New Roman" w:eastAsia="Times New Roman"/>
          <w:sz w:val="16"/>
        </w:rPr>
        <w:t>, 2023.</w:t>
      </w:r>
    </w:p>
    <w:p>
      <w:pPr>
        <w:tabs>
          <w:tab w:pos="432" w:val="left"/>
        </w:tabs>
        <w:spacing w:before="0" w:after="0" w:line="240" w:lineRule="auto"/>
        <w:ind w:left="432" w:hanging="432"/>
        <w:jc w:val="both"/>
      </w:pPr>
      <w:r>
        <w:rPr>
          <w:rFonts w:ascii="Times New Roman" w:hAnsi="Times New Roman" w:eastAsia="Times New Roman"/>
          <w:sz w:val="16"/>
        </w:rPr>
        <w:t>[9]</w:t>
        <w:tab/>
      </w:r>
      <w:r>
        <w:rPr>
          <w:rFonts w:ascii="Times New Roman" w:hAnsi="Times New Roman" w:eastAsia="Times New Roman"/>
          <w:sz w:val="16"/>
        </w:rPr>
        <w:t xml:space="preserve">P. Lewis et al., “Retrieval-Augmented Generation for Knowledge-Intensive NLP Tasks,” </w:t>
      </w:r>
      <w:r>
        <w:rPr>
          <w:rFonts w:ascii="Times New Roman" w:hAnsi="Times New Roman" w:eastAsia="Times New Roman"/>
          <w:sz w:val="16"/>
        </w:rPr>
        <w:t xml:space="preserve">in </w:t>
      </w:r>
      <w:r>
        <w:rPr>
          <w:rFonts w:ascii="Times New Roman" w:hAnsi="Times New Roman" w:eastAsia="Times New Roman"/>
          <w:i/>
          <w:sz w:val="16"/>
        </w:rPr>
        <w:t>Advances in Neural Information Processing Systems (NeurIPS)</w:t>
      </w:r>
      <w:r>
        <w:rPr>
          <w:rFonts w:ascii="Times New Roman" w:hAnsi="Times New Roman" w:eastAsia="Times New Roman"/>
          <w:sz w:val="16"/>
        </w:rPr>
        <w:t>, 2020, pp. 9459–9474.</w:t>
      </w:r>
    </w:p>
    <w:p>
      <w:pPr>
        <w:tabs>
          <w:tab w:pos="432" w:val="left"/>
        </w:tabs>
        <w:spacing w:before="0" w:after="0" w:line="240" w:lineRule="auto"/>
        <w:ind w:left="432" w:hanging="432"/>
        <w:jc w:val="both"/>
      </w:pPr>
      <w:r>
        <w:rPr>
          <w:rFonts w:ascii="Times New Roman" w:hAnsi="Times New Roman" w:eastAsia="Times New Roman"/>
          <w:sz w:val="16"/>
        </w:rPr>
        <w:t>[10]</w:t>
        <w:tab/>
      </w:r>
      <w:r>
        <w:rPr>
          <w:rFonts w:ascii="Times New Roman" w:hAnsi="Times New Roman" w:eastAsia="Times New Roman"/>
          <w:sz w:val="16"/>
        </w:rPr>
        <w:t xml:space="preserve">Z. Yang et al., “HotpotQA: A Dataset for Diverse, Explainable Multi-hop Question Answering,” </w:t>
      </w:r>
      <w:r>
        <w:rPr>
          <w:rFonts w:ascii="Times New Roman" w:hAnsi="Times New Roman" w:eastAsia="Times New Roman"/>
          <w:sz w:val="16"/>
        </w:rPr>
        <w:t xml:space="preserve">in </w:t>
      </w:r>
      <w:r>
        <w:rPr>
          <w:rFonts w:ascii="Times New Roman" w:hAnsi="Times New Roman" w:eastAsia="Times New Roman"/>
          <w:i/>
          <w:sz w:val="16"/>
        </w:rPr>
        <w:t>Proc. Conf. Empirical Methods in Natural Language Processing (EMNLP)</w:t>
      </w:r>
      <w:r>
        <w:rPr>
          <w:rFonts w:ascii="Times New Roman" w:hAnsi="Times New Roman" w:eastAsia="Times New Roman"/>
          <w:sz w:val="16"/>
        </w:rPr>
        <w:t>, 2018, pp. 2369–2380.</w:t>
      </w:r>
    </w:p>
    <w:p>
      <w:pPr>
        <w:tabs>
          <w:tab w:pos="432" w:val="left"/>
        </w:tabs>
        <w:spacing w:before="0" w:after="0" w:line="240" w:lineRule="auto"/>
        <w:ind w:left="432" w:hanging="432"/>
        <w:jc w:val="both"/>
      </w:pPr>
      <w:r>
        <w:rPr>
          <w:rFonts w:ascii="Times New Roman" w:hAnsi="Times New Roman" w:eastAsia="Times New Roman"/>
          <w:sz w:val="16"/>
        </w:rPr>
        <w:t>[11]</w:t>
        <w:tab/>
      </w:r>
      <w:r>
        <w:rPr>
          <w:rFonts w:ascii="Times New Roman" w:hAnsi="Times New Roman" w:eastAsia="Times New Roman"/>
          <w:sz w:val="16"/>
        </w:rPr>
        <w:t xml:space="preserve">D. Edge et al., “From Local to Global: A Graph RAG Approach to Query-Focused Summarization,” </w:t>
      </w:r>
      <w:r>
        <w:rPr>
          <w:rFonts w:ascii="Times New Roman" w:hAnsi="Times New Roman" w:eastAsia="Times New Roman"/>
          <w:i/>
          <w:sz w:val="16"/>
        </w:rPr>
        <w:t>arXiv preprint arXiv:2404.16130</w:t>
      </w:r>
      <w:r>
        <w:rPr>
          <w:rFonts w:ascii="Times New Roman" w:hAnsi="Times New Roman" w:eastAsia="Times New Roman"/>
          <w:sz w:val="16"/>
        </w:rPr>
        <w:t>, 2024.</w:t>
      </w:r>
    </w:p>
    <w:p>
      <w:pPr>
        <w:tabs>
          <w:tab w:pos="432" w:val="left"/>
        </w:tabs>
        <w:spacing w:before="0" w:after="0" w:line="240" w:lineRule="auto"/>
        <w:ind w:left="432" w:hanging="432"/>
        <w:jc w:val="both"/>
      </w:pPr>
      <w:r>
        <w:rPr>
          <w:rFonts w:ascii="Times New Roman" w:hAnsi="Times New Roman" w:eastAsia="Times New Roman"/>
          <w:sz w:val="16"/>
        </w:rPr>
        <w:t>[12]</w:t>
        <w:tab/>
      </w:r>
      <w:r>
        <w:rPr>
          <w:rFonts w:ascii="Times New Roman" w:hAnsi="Times New Roman" w:eastAsia="Times New Roman"/>
          <w:sz w:val="16"/>
        </w:rPr>
        <w:t xml:space="preserve">J. Wei et al., “Chain-of-Thought Prompting Elicits Reasoning in Large Language Models,” </w:t>
      </w:r>
      <w:r>
        <w:rPr>
          <w:rFonts w:ascii="Times New Roman" w:hAnsi="Times New Roman" w:eastAsia="Times New Roman"/>
          <w:sz w:val="16"/>
        </w:rPr>
        <w:t xml:space="preserve">in </w:t>
      </w:r>
      <w:r>
        <w:rPr>
          <w:rFonts w:ascii="Times New Roman" w:hAnsi="Times New Roman" w:eastAsia="Times New Roman"/>
          <w:i/>
          <w:sz w:val="16"/>
        </w:rPr>
        <w:t>Advances in Neural Information Processing Systems (NeurIPS)</w:t>
      </w:r>
      <w:r>
        <w:rPr>
          <w:rFonts w:ascii="Times New Roman" w:hAnsi="Times New Roman" w:eastAsia="Times New Roman"/>
          <w:sz w:val="16"/>
        </w:rPr>
        <w:t>, 2022, pp. 24824–24837.</w:t>
      </w:r>
    </w:p>
    <w:p>
      <w:pPr>
        <w:tabs>
          <w:tab w:pos="432" w:val="left"/>
        </w:tabs>
        <w:spacing w:before="0" w:after="0" w:line="240" w:lineRule="auto"/>
        <w:ind w:left="432" w:hanging="432"/>
        <w:jc w:val="both"/>
      </w:pPr>
      <w:r>
        <w:rPr>
          <w:rFonts w:ascii="Times New Roman" w:hAnsi="Times New Roman" w:eastAsia="Times New Roman"/>
          <w:sz w:val="16"/>
        </w:rPr>
        <w:t>[13]</w:t>
        <w:tab/>
      </w:r>
      <w:r>
        <w:rPr>
          <w:rFonts w:ascii="Times New Roman" w:hAnsi="Times New Roman" w:eastAsia="Times New Roman"/>
          <w:sz w:val="16"/>
        </w:rPr>
        <w:t xml:space="preserve">A. Q. Jiang et al., “Mistral 7B,” </w:t>
      </w:r>
      <w:r>
        <w:rPr>
          <w:rFonts w:ascii="Times New Roman" w:hAnsi="Times New Roman" w:eastAsia="Times New Roman"/>
          <w:i/>
          <w:sz w:val="16"/>
        </w:rPr>
        <w:t>arXiv preprint arXiv:2310.06825</w:t>
      </w:r>
      <w:r>
        <w:rPr>
          <w:rFonts w:ascii="Times New Roman" w:hAnsi="Times New Roman" w:eastAsia="Times New Roman"/>
          <w:sz w:val="16"/>
        </w:rPr>
        <w:t>, 2023.</w:t>
      </w:r>
    </w:p>
    <w:p>
      <w:pPr>
        <w:tabs>
          <w:tab w:pos="432" w:val="left"/>
        </w:tabs>
        <w:spacing w:before="0" w:after="0" w:line="240" w:lineRule="auto"/>
        <w:ind w:left="432" w:hanging="432"/>
        <w:jc w:val="both"/>
      </w:pPr>
      <w:r>
        <w:rPr>
          <w:rFonts w:ascii="Times New Roman" w:hAnsi="Times New Roman" w:eastAsia="Times New Roman"/>
          <w:sz w:val="16"/>
        </w:rPr>
        <w:t>[14]</w:t>
        <w:tab/>
      </w:r>
      <w:r>
        <w:rPr>
          <w:rFonts w:ascii="Times New Roman" w:hAnsi="Times New Roman" w:eastAsia="Times New Roman"/>
          <w:sz w:val="16"/>
        </w:rPr>
        <w:t xml:space="preserve">N. Reimers and I. Gurevych, “Sentence-BERT: Sentence Embeddings using Siamese BERT-Networks,” </w:t>
      </w:r>
      <w:r>
        <w:rPr>
          <w:rFonts w:ascii="Times New Roman" w:hAnsi="Times New Roman" w:eastAsia="Times New Roman"/>
          <w:sz w:val="16"/>
        </w:rPr>
        <w:t xml:space="preserve">in </w:t>
      </w:r>
      <w:r>
        <w:rPr>
          <w:rFonts w:ascii="Times New Roman" w:hAnsi="Times New Roman" w:eastAsia="Times New Roman"/>
          <w:i/>
          <w:sz w:val="16"/>
        </w:rPr>
        <w:t>Proc. Conf. Empirical Methods in Natural Language Processing (EMNLP-IJCNLP)</w:t>
      </w:r>
      <w:r>
        <w:rPr>
          <w:rFonts w:ascii="Times New Roman" w:hAnsi="Times New Roman" w:eastAsia="Times New Roman"/>
          <w:sz w:val="16"/>
        </w:rPr>
        <w:t>, 2019, pp. 3982–3992.</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ableText">
    <w:name w:val="IEEE Table Text"/>
    <w:basedOn w:val="Normal"/>
    <w:pPr>
      <w:spacing w:before="20" w:after="2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Meeting Reasoning Gets Lost: A Feasibility Study of Decision-Context Gap Detection in Enterprise Meetings</dc:title>
  <dc:subject/>
  <dc:creator>Jaitra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