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293B"/>
          <w:sz w:val="34"/>
        </w:rPr>
        <w:t>How to Broadcast Automated SMS Panic Alerts for Critical Labs</w:t>
      </w:r>
    </w:p>
    <w:p>
      <w:r>
        <w:t>Standard Operating Guide  •  Saveetha Medical College and Hospital (SMCH)  •  System: LIS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Article Identifier</w:t>
            </w:r>
          </w:p>
        </w:tc>
        <w:tc>
          <w:tcPr>
            <w:tcW w:type="dxa" w:w="4968"/>
          </w:tcPr>
          <w:p>
            <w:r>
              <w:t>KA-025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System Covered</w:t>
            </w:r>
          </w:p>
        </w:tc>
        <w:tc>
          <w:tcPr>
            <w:tcW w:type="dxa" w:w="4968"/>
          </w:tcPr>
          <w:p>
            <w:r>
              <w:t>LIS Engine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Responsible Department</w:t>
            </w:r>
          </w:p>
        </w:tc>
        <w:tc>
          <w:tcPr>
            <w:tcW w:type="dxa" w:w="4968"/>
          </w:tcPr>
          <w:p>
            <w:r>
              <w:t>Laboratory Operations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Roles</w:t>
            </w:r>
          </w:p>
        </w:tc>
        <w:tc>
          <w:tcPr>
            <w:tcW w:type="dxa" w:w="4968"/>
          </w:tcPr>
          <w:p>
            <w:r>
              <w:t>v2.1  •  lab_tech, quality</w:t>
            </w:r>
          </w:p>
        </w:tc>
      </w:tr>
    </w:tbl>
    <w:p/>
    <w:p>
      <w:pPr>
        <w:pStyle w:val="Heading2"/>
      </w:pPr>
      <w:r>
        <w:t>1. Overview &amp; Objective</w:t>
      </w:r>
    </w:p>
    <w:p>
      <w:r>
        <w:t>This comprehensive operating guide details how hospital personnel should interact with the LIS Engine module to execute how to broadcast automated sms panic alerts for critical labs safely and reliably.</w:t>
      </w:r>
    </w:p>
    <w:p>
      <w:pPr>
        <w:pStyle w:val="Heading2"/>
      </w:pPr>
      <w:r>
        <w:t>2. Step-by-Step Execution Guide</w:t>
      </w:r>
    </w:p>
    <w:p>
      <w:r>
        <w:t>Step 1: Open the LIS Engine client terminal on any networked SMCH workstation and log in with role credentials.</w:t>
      </w:r>
    </w:p>
    <w:p>
      <w:r>
        <w:t>Step 2: Enter the patient's unique UHID or Case Number to load active records.</w:t>
      </w:r>
    </w:p>
    <w:p>
      <w:r>
        <w:t>Step 3: Access the designated submenu corresponding to How to Broadcast Automated SMS Panic Alerts for Critical Labs and verify current patient status.</w:t>
      </w:r>
    </w:p>
    <w:p>
      <w:r>
        <w:t>Step 4: Input all required clinical or administrative parameters, ensuring mandatory fields are validated.</w:t>
      </w:r>
    </w:p>
    <w:p>
      <w:r>
        <w:t>Step 5: Verify preview confirmation modal and click 'Submit' to persist changes to the database.</w:t>
      </w:r>
    </w:p>
    <w:p>
      <w:r>
        <w:t>Step 6: Print barcode, acknowledgement chit, or receipt as required by hospital compliance.</w:t>
      </w:r>
    </w:p>
    <w:p>
      <w:pPr>
        <w:pStyle w:val="Heading2"/>
      </w:pPr>
      <w:r>
        <w:t>3. Common Errors and Recommended Fixes</w:t>
      </w:r>
    </w:p>
    <w:p>
      <w:r>
        <w:t>- [ISSUE &amp; FIX] Connection timeout: Verify LAN cable connection or contact IT Helpdesk.</w:t>
      </w:r>
    </w:p>
    <w:p>
      <w:r>
        <w:t>- [ISSUE &amp; FIX] Permission Denied: Ensure user account has the assigned role in staff master permissions.</w:t>
      </w:r>
    </w:p>
    <w:p>
      <w:pPr>
        <w:pStyle w:val="Heading2"/>
      </w:pPr>
      <w:r>
        <w:t>4. Who to Contact for Support</w:t>
      </w:r>
    </w:p>
    <w:p>
      <w:r>
        <w:t>Contact Laboratory Operations coordinator or IT Operations Support at Extension 1033 (Email: it@smch.in).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KA-025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