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F172A"/>
          <w:sz w:val="34"/>
        </w:rPr>
        <w:t>Statutory Medico-Legal Case Forensic Custody Policy</w:t>
      </w:r>
    </w:p>
    <w:p>
      <w:r>
        <w:t>Hospital Institutional Policy  •  Saveetha Medical College and Hospital (SMCH)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Policy Identifier</w:t>
            </w:r>
          </w:p>
        </w:tc>
        <w:tc>
          <w:tcPr>
            <w:tcW w:type="dxa" w:w="4968"/>
          </w:tcPr>
          <w:p>
            <w:r>
              <w:t>POL-013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Department / Committee</w:t>
            </w:r>
          </w:p>
        </w:tc>
        <w:tc>
          <w:tcPr>
            <w:tcW w:type="dxa" w:w="4968"/>
          </w:tcPr>
          <w:p>
            <w:r>
              <w:t>Medical Records (MRD / HIM)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Effective Version</w:t>
            </w:r>
          </w:p>
        </w:tc>
        <w:tc>
          <w:tcPr>
            <w:tcW w:type="dxa" w:w="4968"/>
          </w:tcPr>
          <w:p>
            <w:r>
              <w:t>v2.3 (Approved 2026)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Enforcement Roles</w:t>
            </w:r>
          </w:p>
        </w:tc>
        <w:tc>
          <w:tcPr>
            <w:tcW w:type="dxa" w:w="4968"/>
          </w:tcPr>
          <w:p>
            <w:r>
              <w:t>doctor, front_office</w:t>
            </w:r>
          </w:p>
        </w:tc>
      </w:tr>
    </w:tbl>
    <w:p/>
    <w:p>
      <w:pPr>
        <w:pStyle w:val="Heading2"/>
      </w:pPr>
      <w:r>
        <w:t>1. Policy Statement</w:t>
      </w:r>
    </w:p>
    <w:p>
      <w:r>
        <w:t>It is the official policy of Saveetha Medical College and Hospital (SMCH) that all clinical and operational activities governing statutory medico-legal case forensic custody policy adhere strictly to regulatory standards, NABH accreditation criteria, and patient rights.</w:t>
      </w:r>
    </w:p>
    <w:p>
      <w:pPr>
        <w:pStyle w:val="Heading2"/>
      </w:pPr>
      <w:r>
        <w:t>2. Core Principles &amp; Rules</w:t>
      </w:r>
    </w:p>
    <w:p>
      <w:r>
        <w:t>• Rule 1: All personnel in Medical Records (MRD / HIM) must enforce compliance with documented procedural workflows.</w:t>
      </w:r>
    </w:p>
    <w:p>
      <w:r>
        <w:t>• Rule 2: Mandatory documentation must be maintained in the electronic hospital information system.</w:t>
      </w:r>
    </w:p>
    <w:p>
      <w:r>
        <w:t>• Rule 3: Zero tolerance for unauthorized procedural deviation without written Medical Superintendent sign-off.</w:t>
      </w:r>
    </w:p>
    <w:p>
      <w:pPr>
        <w:pStyle w:val="Heading2"/>
      </w:pPr>
      <w:r>
        <w:t>3. Regulatory &amp; Statutory Compliance</w:t>
      </w:r>
    </w:p>
    <w:p>
      <w:r>
        <w:t>Complies with National Medical Commission (NMC), NABH 5th Edition Standards, and Tamil Nadu Clinical Establishments Act.</w:t>
      </w:r>
    </w:p>
    <w:p>
      <w:pPr>
        <w:pStyle w:val="Heading2"/>
      </w:pPr>
      <w:r>
        <w:t>4. Exceptions &amp; Escalation</w:t>
      </w:r>
    </w:p>
    <w:p>
      <w:r>
        <w:t>Any emergency exception must be documented in writing and escalated to the Operations Manager and Medical Superintendent within 24 hours.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&amp; Proprietary — Saveetha Medical College and Hospital (SMCH)  |  Page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Saveetha Medical College and Hospital (SMCH)  |  POL-013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64748B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94A3B8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