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Occupational Post-Exposure Prophylaxis (PEP) Policy</w:t>
      </w:r>
    </w:p>
    <w:p>
      <w:r>
        <w:t>Hospital Institutional Policy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Policy Identifier</w:t>
            </w:r>
          </w:p>
        </w:tc>
        <w:tc>
          <w:tcPr>
            <w:tcW w:type="dxa" w:w="4968"/>
          </w:tcPr>
          <w:p>
            <w:r>
              <w:t>POL-021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 / Committee</w:t>
            </w:r>
          </w:p>
        </w:tc>
        <w:tc>
          <w:tcPr>
            <w:tcW w:type="dxa" w:w="4968"/>
          </w:tcPr>
          <w:p>
            <w:r>
              <w:t>Quality and Patient Safety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Version</w:t>
            </w:r>
          </w:p>
        </w:tc>
        <w:tc>
          <w:tcPr>
            <w:tcW w:type="dxa" w:w="4968"/>
          </w:tcPr>
          <w:p>
            <w:r>
              <w:t>v2.3 (Approved 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Enforcement Roles</w:t>
            </w:r>
          </w:p>
        </w:tc>
        <w:tc>
          <w:tcPr>
            <w:tcW w:type="dxa" w:w="4968"/>
          </w:tcPr>
          <w:p>
            <w:r>
              <w:t>all_staff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It is the official policy of Saveetha Medical College and Hospital (SMCH) that all clinical and operational activities governing occupational post-exposure prophylaxis (pep) policy adhere strictly to regulatory standards, NABH accreditation criteria, and patient rights.</w:t>
      </w:r>
    </w:p>
    <w:p>
      <w:pPr>
        <w:pStyle w:val="Heading2"/>
      </w:pPr>
      <w:r>
        <w:t>2. Core Principles &amp; Rules</w:t>
      </w:r>
    </w:p>
    <w:p>
      <w:r>
        <w:t>• Rule 1: All personnel in Quality and Patient Safety must enforce compliance with documented procedural workflows.</w:t>
      </w:r>
    </w:p>
    <w:p>
      <w:r>
        <w:t>• Rule 2: Mandatory documentation must be maintained in the electronic hospital information system.</w:t>
      </w:r>
    </w:p>
    <w:p>
      <w:r>
        <w:t>• Rule 3: Zero tolerance for unauthorized procedural deviation without written Medical Superintendent sign-off.</w:t>
      </w:r>
    </w:p>
    <w:p>
      <w:pPr>
        <w:pStyle w:val="Heading2"/>
      </w:pPr>
      <w:r>
        <w:t>3. Regulatory &amp; Statutory Compliance</w:t>
      </w:r>
    </w:p>
    <w:p>
      <w:r>
        <w:t>Complies with National Medical Commission (NMC), NABH 5th Edition Standards, and Tamil Nadu Clinical Establishments Act.</w:t>
      </w:r>
    </w:p>
    <w:p>
      <w:pPr>
        <w:pStyle w:val="Heading2"/>
      </w:pPr>
      <w:r>
        <w:t>4. Exceptions &amp; Escalation</w:t>
      </w:r>
    </w:p>
    <w:p>
      <w:r>
        <w:t>Any emergency exception must be documented in writing and escalated to the Operations Manager and Medical Superintendent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POL-021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