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Code Red Fire Safety and Mass Casualty Evacuation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POL-026</w:t>
            </w:r>
          </w:p>
        </w:tc>
      </w:tr>
      <w:tr>
        <w:tc>
          <w:tcPr>
            <w:tcW w:type="dxa" w:w="4968"/>
          </w:tcPr>
          <w:p>
            <w:r>
              <w:rPr>
                <w:b/>
              </w:rPr>
              <w:t>Department / Committee</w:t>
            </w:r>
          </w:p>
        </w:tc>
        <w:tc>
          <w:tcPr>
            <w:tcW w:type="dxa" w:w="4968"/>
          </w:tcPr>
          <w:p>
            <w:r>
              <w:t>Facility Management</w:t>
            </w:r>
          </w:p>
        </w:tc>
      </w:tr>
      <w:tr>
        <w:tc>
          <w:tcPr>
            <w:tcW w:type="dxa" w:w="4968"/>
          </w:tcPr>
          <w:p>
            <w:r>
              <w:rPr>
                <w:b/>
              </w:rPr>
              <w:t>Effective Version</w:t>
            </w:r>
          </w:p>
        </w:tc>
        <w:tc>
          <w:tcPr>
            <w:tcW w:type="dxa" w:w="4968"/>
          </w:tcPr>
          <w:p>
            <w:r>
              <w:t>v2.8 (Approved 2026)</w:t>
            </w:r>
          </w:p>
        </w:tc>
      </w:tr>
      <w:tr>
        <w:tc>
          <w:tcPr>
            <w:tcW w:type="dxa" w:w="4968"/>
          </w:tcPr>
          <w:p>
            <w:r>
              <w:rPr>
                <w:b/>
              </w:rPr>
              <w:t>Enforcement Roles</w:t>
            </w:r>
          </w:p>
        </w:tc>
        <w:tc>
          <w:tcPr>
            <w:tcW w:type="dxa" w:w="4968"/>
          </w:tcPr>
          <w:p>
            <w:r>
              <w:t>all_staff</w:t>
            </w:r>
          </w:p>
        </w:tc>
      </w:tr>
    </w:tbl>
    <w:p/>
    <w:p>
      <w:pPr>
        <w:pStyle w:val="Heading2"/>
      </w:pPr>
      <w:r>
        <w:t>1. Policy Statement</w:t>
      </w:r>
    </w:p>
    <w:p>
      <w:r>
        <w:t>It is the official policy of Saveetha Medical College and Hospital (SMCH) that all clinical and operational activities governing code red fire safety and mass casualty evacuation policy adhere strictly to regulatory standards, NABH accreditation criteria, and patient rights.</w:t>
      </w:r>
    </w:p>
    <w:p>
      <w:pPr>
        <w:pStyle w:val="Heading2"/>
      </w:pPr>
      <w:r>
        <w:t>2. Core Principles &amp; Rules</w:t>
      </w:r>
    </w:p>
    <w:p>
      <w:r>
        <w:t>• Rule 1: All personnel in Facility Management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