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Billing Finalisation Procedure</w:t>
      </w:r>
    </w:p>
    <w:p>
      <w:r>
        <w:t>Standard Operating Procedure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SOP Identifier</w:t>
            </w:r>
          </w:p>
        </w:tc>
        <w:tc>
          <w:tcPr>
            <w:tcW w:type="dxa" w:w="4968"/>
          </w:tcPr>
          <w:p>
            <w:r>
              <w:t>SOP-BIL-001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968"/>
          </w:tcPr>
          <w:p>
            <w:r>
              <w:t>Billing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Status</w:t>
            </w:r>
          </w:p>
        </w:tc>
        <w:tc>
          <w:tcPr>
            <w:tcW w:type="dxa" w:w="4968"/>
          </w:tcPr>
          <w:p>
            <w:r>
              <w:t>Version 3.0 (Approved: 2026-01-08)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Applicable Roles</w:t>
            </w:r>
          </w:p>
        </w:tc>
        <w:tc>
          <w:tcPr>
            <w:tcW w:type="dxa" w:w="4968"/>
          </w:tcPr>
          <w:p>
            <w:r>
              <w:t>billing, insurance_tpa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Required Documents</w:t>
            </w:r>
          </w:p>
        </w:tc>
        <w:tc>
          <w:tcPr>
            <w:tcW w:type="dxa" w:w="4968"/>
          </w:tcPr>
          <w:p>
            <w:r>
              <w:t>Billing Document, Insurance Preauth Form</w:t>
            </w:r>
          </w:p>
        </w:tc>
      </w:tr>
    </w:tbl>
    <w:p/>
    <w:p>
      <w:pPr>
        <w:pStyle w:val="Heading2"/>
      </w:pPr>
      <w:r>
        <w:t>1. Purpose</w:t>
      </w:r>
    </w:p>
    <w:p>
      <w:r>
        <w:t>Consolidated inpatient charge auditing and tax invoice generation.</w:t>
      </w:r>
    </w:p>
    <w:p>
      <w:pPr>
        <w:pStyle w:val="Heading2"/>
      </w:pPr>
      <w:r>
        <w:t>2. Scope</w:t>
      </w:r>
    </w:p>
    <w:p>
      <w:r>
        <w:t>Applies to all relevant personnel and operational units in Billing at Saveetha Medical College and Hospital (SMCH).</w:t>
      </w:r>
    </w:p>
    <w:p>
      <w:pPr>
        <w:pStyle w:val="Heading2"/>
      </w:pPr>
      <w:r>
        <w:t>3. Required Documents</w:t>
      </w:r>
    </w:p>
    <w:p>
      <w:r>
        <w:t>• Billing Document</w:t>
      </w:r>
    </w:p>
    <w:p>
      <w:r>
        <w:t>• Insurance Preauth Form</w:t>
      </w:r>
    </w:p>
    <w:p>
      <w:pPr>
        <w:pStyle w:val="Heading2"/>
      </w:pPr>
      <w:r>
        <w:t>4. Procedure Steps</w:t>
      </w:r>
    </w:p>
    <w:p>
      <w:r>
        <w:t>Step 1: Execute phase 1 of Billing Finalisation Procedure in full compliance with Billing hospital policy, verifying patient UHID and audit stamps.</w:t>
      </w:r>
    </w:p>
    <w:p>
      <w:r>
        <w:t>Step 2: Execute phase 2 of Billing Finalisation Procedure in full compliance with Billing hospital policy, verifying patient UHID and audit stamps.</w:t>
      </w:r>
    </w:p>
    <w:p>
      <w:r>
        <w:t>Step 3: Execute phase 3 of Billing Finalisation Procedure in full compliance with Billing hospital policy, verifying patient UHID and audit stamps.</w:t>
      </w:r>
    </w:p>
    <w:p>
      <w:r>
        <w:t>Step 4: Execute phase 4 of Billing Finalisation Procedure in full compliance with Billing hospital policy, verifying patient UHID and audit stamps.</w:t>
      </w:r>
    </w:p>
    <w:p>
      <w:r>
        <w:t>Step 5: Execute phase 5 of Billing Finalisation Procedure in full compliance with Billing hospital policy, verifying patient UHID and audit stamps.</w:t>
      </w:r>
    </w:p>
    <w:p>
      <w:r>
        <w:t>Step 6: Execute phase 6 of Billing Finalisation Procedure in full compliance with Billing hospital policy, verifying patient UHID and audit stamps.</w:t>
      </w:r>
    </w:p>
    <w:p>
      <w:pPr>
        <w:pStyle w:val="Heading2"/>
      </w:pPr>
      <w:r>
        <w:t>5. Common Blockers</w:t>
      </w:r>
    </w:p>
    <w:p>
      <w:r>
        <w:t>- [BLOCKER] System connectivity or missing documentation in Billing.</w:t>
      </w:r>
    </w:p>
    <w:p>
      <w:r>
        <w:t>- [BLOCKER] Bed, reagent, medication, or personnel resource constraints during peak hours.</w:t>
      </w:r>
    </w:p>
    <w:p>
      <w:pPr>
        <w:pStyle w:val="Heading2"/>
      </w:pPr>
      <w:r>
        <w:t>6. Escalation Conditions</w:t>
      </w:r>
    </w:p>
    <w:p>
      <w:r>
        <w:t>- [ESCALATION] Delays exceeding 2 hours must be escalated to the Operations Manager.</w:t>
      </w:r>
    </w:p>
    <w:p>
      <w:r>
        <w:t>- [ESCALATION] Clinical complications or safety hazards must be escalated immediately to Clinical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SOP-BIL-001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