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Medical Staff Credentialing and Privileging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SOP-HR-001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Human Resources and Administration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2.2 (Approved: 2026-01-07)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medical_superintendent, hr_officer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Credentialing Dossier, Privilege Matrix</w:t>
            </w:r>
          </w:p>
        </w:tc>
      </w:tr>
    </w:tbl>
    <w:p/>
    <w:p>
      <w:pPr>
        <w:pStyle w:val="Heading2"/>
      </w:pPr>
      <w:r>
        <w:t>1. Purpose</w:t>
      </w:r>
    </w:p>
    <w:p>
      <w:r>
        <w:t>Verify medical council registration and operative surgical scopes.</w:t>
      </w:r>
    </w:p>
    <w:p>
      <w:pPr>
        <w:pStyle w:val="Heading2"/>
      </w:pPr>
      <w:r>
        <w:t>2. Scope</w:t>
      </w:r>
    </w:p>
    <w:p>
      <w:r>
        <w:t>Applies to all relevant personnel and operational units in Human Resources and Administration at Saveetha Medical College and Hospital (SMCH).</w:t>
      </w:r>
    </w:p>
    <w:p>
      <w:pPr>
        <w:pStyle w:val="Heading2"/>
      </w:pPr>
      <w:r>
        <w:t>3. Required Documents</w:t>
      </w:r>
    </w:p>
    <w:p>
      <w:r>
        <w:t>• Credentialing Dossier</w:t>
      </w:r>
    </w:p>
    <w:p>
      <w:r>
        <w:t>• Privilege Matrix</w:t>
      </w:r>
    </w:p>
    <w:p>
      <w:pPr>
        <w:pStyle w:val="Heading2"/>
      </w:pPr>
      <w:r>
        <w:t>4. Procedure Steps</w:t>
      </w:r>
    </w:p>
    <w:p>
      <w:r>
        <w:t>Step 1: Execute phase 1 of Medical Staff Credentialing and Privileging in full compliance with Human Resources and Administration hospital policy, verifying patient UHID and audit stamps.</w:t>
      </w:r>
    </w:p>
    <w:p>
      <w:r>
        <w:t>Step 2: Execute phase 2 of Medical Staff Credentialing and Privileging in full compliance with Human Resources and Administration hospital policy, verifying patient UHID and audit stamps.</w:t>
      </w:r>
    </w:p>
    <w:p>
      <w:r>
        <w:t>Step 3: Execute phase 3 of Medical Staff Credentialing and Privileging in full compliance with Human Resources and Administration hospital policy, verifying patient UHID and audit stamps.</w:t>
      </w:r>
    </w:p>
    <w:p>
      <w:r>
        <w:t>Step 4: Execute phase 4 of Medical Staff Credentialing and Privileging in full compliance with Human Resources and Administration hospital policy, verifying patient UHID and audit stamps.</w:t>
      </w:r>
    </w:p>
    <w:p>
      <w:r>
        <w:t>Step 5: Execute phase 5 of Medical Staff Credentialing and Privileging in full compliance with Human Resources and Administration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Human Resources and Administration.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SOP-HR-001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