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Medico-Legal Case Registration Procedure</w:t>
      </w:r>
    </w:p>
    <w:p>
      <w:r>
        <w:t>Standard Operating Procedure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SOP Identifier</w:t>
            </w:r>
          </w:p>
        </w:tc>
        <w:tc>
          <w:tcPr>
            <w:tcW w:type="dxa" w:w="4968"/>
          </w:tcPr>
          <w:p>
            <w:r>
              <w:t>SOP-MLC-001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968"/>
          </w:tcPr>
          <w:p>
            <w:r>
              <w:t>Medical Records (MRD / HIM)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Version &amp; Status</w:t>
            </w:r>
          </w:p>
        </w:tc>
        <w:tc>
          <w:tcPr>
            <w:tcW w:type="dxa" w:w="4968"/>
          </w:tcPr>
          <w:p>
            <w:r>
              <w:t>Version 2.2 (Approved: 2026-01-30)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Applicable Roles</w:t>
            </w:r>
          </w:p>
        </w:tc>
        <w:tc>
          <w:tcPr>
            <w:tcW w:type="dxa" w:w="4968"/>
          </w:tcPr>
          <w:p>
            <w:r>
              <w:t>front_office, doctor, medical_records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Required Documents</w:t>
            </w:r>
          </w:p>
        </w:tc>
        <w:tc>
          <w:tcPr>
            <w:tcW w:type="dxa" w:w="4968"/>
          </w:tcPr>
          <w:p>
            <w:r>
              <w:t>MLC Registration Form, Police Intimation Slip</w:t>
            </w:r>
          </w:p>
        </w:tc>
      </w:tr>
    </w:tbl>
    <w:p/>
    <w:p>
      <w:pPr>
        <w:pStyle w:val="Heading2"/>
      </w:pPr>
      <w:r>
        <w:t>1. Purpose</w:t>
      </w:r>
    </w:p>
    <w:p>
      <w:r>
        <w:t>Statutory police intimation within 1 hour for forensic trauma cases.</w:t>
      </w:r>
    </w:p>
    <w:p>
      <w:pPr>
        <w:pStyle w:val="Heading2"/>
      </w:pPr>
      <w:r>
        <w:t>2. Scope</w:t>
      </w:r>
    </w:p>
    <w:p>
      <w:r>
        <w:t>Applies to all relevant personnel and operational units in Medical Records (MRD / HIM) at Saveetha Medical College and Hospital (SMCH).</w:t>
      </w:r>
    </w:p>
    <w:p>
      <w:pPr>
        <w:pStyle w:val="Heading2"/>
      </w:pPr>
      <w:r>
        <w:t>3. Required Documents</w:t>
      </w:r>
    </w:p>
    <w:p>
      <w:r>
        <w:t>• MLC Registration Form</w:t>
      </w:r>
    </w:p>
    <w:p>
      <w:r>
        <w:t>• Police Intimation Slip</w:t>
      </w:r>
    </w:p>
    <w:p>
      <w:pPr>
        <w:pStyle w:val="Heading2"/>
      </w:pPr>
      <w:r>
        <w:t>4. Procedure Steps</w:t>
      </w:r>
    </w:p>
    <w:p>
      <w:r>
        <w:t>Step 1: Execute phase 1 of Medico-Legal Case Registration Procedure in full compliance with Medical Records (MRD / HIM) hospital policy, verifying patient UHID and audit stamps.</w:t>
      </w:r>
    </w:p>
    <w:p>
      <w:r>
        <w:t>Step 2: Execute phase 2 of Medico-Legal Case Registration Procedure in full compliance with Medical Records (MRD / HIM) hospital policy, verifying patient UHID and audit stamps.</w:t>
      </w:r>
    </w:p>
    <w:p>
      <w:r>
        <w:t>Step 3: Execute phase 3 of Medico-Legal Case Registration Procedure in full compliance with Medical Records (MRD / HIM) hospital policy, verifying patient UHID and audit stamps.</w:t>
      </w:r>
    </w:p>
    <w:p>
      <w:r>
        <w:t>Step 4: Execute phase 4 of Medico-Legal Case Registration Procedure in full compliance with Medical Records (MRD / HIM) hospital policy, verifying patient UHID and audit stamps.</w:t>
      </w:r>
    </w:p>
    <w:p>
      <w:r>
        <w:t>Step 5: Execute phase 5 of Medico-Legal Case Registration Procedure in full compliance with Medical Records (MRD / HIM) hospital policy, verifying patient UHID and audit stamps.</w:t>
      </w:r>
    </w:p>
    <w:p>
      <w:pPr>
        <w:pStyle w:val="Heading2"/>
      </w:pPr>
      <w:r>
        <w:t>5. Common Blockers</w:t>
      </w:r>
    </w:p>
    <w:p>
      <w:r>
        <w:t>- [BLOCKER] System connectivity or missing documentation in Medical Records (MRD / HIM).</w:t>
      </w:r>
    </w:p>
    <w:p>
      <w:r>
        <w:t>- [BLOCKER] Bed, reagent, medication, or personnel resource constraints during peak hours.</w:t>
      </w:r>
    </w:p>
    <w:p>
      <w:pPr>
        <w:pStyle w:val="Heading2"/>
      </w:pPr>
      <w:r>
        <w:t>6. Escalation Conditions</w:t>
      </w:r>
    </w:p>
    <w:p>
      <w:r>
        <w:t>- [ESCALATION] Delays exceeding 2 hours must be escalated to the Operations Manager.</w:t>
      </w:r>
    </w:p>
    <w:p>
      <w:r>
        <w:t>- [ESCALATION] Clinical complications or safety hazards must be escalated immediately to Clinical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SOP-MLC-001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