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34"/>
        </w:rPr>
        <w:t>Patient Bed and Ward Transfer Procedure</w:t>
      </w:r>
    </w:p>
    <w:p>
      <w:r>
        <w:t>Standard Operating Procedure  •  Saveetha Medical College and Hospital (SMCH)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SOP Identifier</w:t>
            </w:r>
          </w:p>
        </w:tc>
        <w:tc>
          <w:tcPr>
            <w:tcW w:type="dxa" w:w="4968"/>
          </w:tcPr>
          <w:p>
            <w:r>
              <w:t>SOP-TRF-001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968"/>
          </w:tcPr>
          <w:p>
            <w:r>
              <w:t>Admission and Discharge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&amp; Status</w:t>
            </w:r>
          </w:p>
        </w:tc>
        <w:tc>
          <w:tcPr>
            <w:tcW w:type="dxa" w:w="4968"/>
          </w:tcPr>
          <w:p>
            <w:r>
              <w:t>Version 1.5 (Approved: 2026-02-10)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Applicable Roles</w:t>
            </w:r>
          </w:p>
        </w:tc>
        <w:tc>
          <w:tcPr>
            <w:tcW w:type="dxa" w:w="4968"/>
          </w:tcPr>
          <w:p>
            <w:r>
              <w:t>admission, nurse, doctor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Required Documents</w:t>
            </w:r>
          </w:p>
        </w:tc>
        <w:tc>
          <w:tcPr>
            <w:tcW w:type="dxa" w:w="4968"/>
          </w:tcPr>
          <w:p>
            <w:r>
              <w:t>Transfer Form, SBAR Handover Note</w:t>
            </w:r>
          </w:p>
        </w:tc>
      </w:tr>
    </w:tbl>
    <w:p/>
    <w:p>
      <w:pPr>
        <w:pStyle w:val="Heading2"/>
      </w:pPr>
      <w:r>
        <w:t>1. Purpose</w:t>
      </w:r>
    </w:p>
    <w:p>
      <w:r>
        <w:t>Intra-hospital patient transfers and HIS bed state tracking.</w:t>
      </w:r>
    </w:p>
    <w:p>
      <w:pPr>
        <w:pStyle w:val="Heading2"/>
      </w:pPr>
      <w:r>
        <w:t>2. Scope</w:t>
      </w:r>
    </w:p>
    <w:p>
      <w:r>
        <w:t>Applies to all relevant personnel and operational units in Admission and Discharge at Saveetha Medical College and Hospital (SMCH).</w:t>
      </w:r>
    </w:p>
    <w:p>
      <w:pPr>
        <w:pStyle w:val="Heading2"/>
      </w:pPr>
      <w:r>
        <w:t>3. Required Documents</w:t>
      </w:r>
    </w:p>
    <w:p>
      <w:r>
        <w:t>• Transfer Form</w:t>
      </w:r>
    </w:p>
    <w:p>
      <w:r>
        <w:t>• SBAR Handover Note</w:t>
      </w:r>
    </w:p>
    <w:p>
      <w:pPr>
        <w:pStyle w:val="Heading2"/>
      </w:pPr>
      <w:r>
        <w:t>4. Procedure Steps</w:t>
      </w:r>
    </w:p>
    <w:p>
      <w:r>
        <w:t>Step 1: Execute phase 1 of Patient Bed and Ward Transfer Procedure in full compliance with Admission and Discharge hospital policy, verifying patient UHID and audit stamps.</w:t>
      </w:r>
    </w:p>
    <w:p>
      <w:r>
        <w:t>Step 2: Execute phase 2 of Patient Bed and Ward Transfer Procedure in full compliance with Admission and Discharge hospital policy, verifying patient UHID and audit stamps.</w:t>
      </w:r>
    </w:p>
    <w:p>
      <w:r>
        <w:t>Step 3: Execute phase 3 of Patient Bed and Ward Transfer Procedure in full compliance with Admission and Discharge hospital policy, verifying patient UHID and audit stamps.</w:t>
      </w:r>
    </w:p>
    <w:p>
      <w:r>
        <w:t>Step 4: Execute phase 4 of Patient Bed and Ward Transfer Procedure in full compliance with Admission and Discharge hospital policy, verifying patient UHID and audit stamps.</w:t>
      </w:r>
    </w:p>
    <w:p>
      <w:r>
        <w:t>Step 5: Execute phase 5 of Patient Bed and Ward Transfer Procedure in full compliance with Admission and Discharge hospital policy, verifying patient UHID and audit stamps.</w:t>
      </w:r>
    </w:p>
    <w:p>
      <w:pPr>
        <w:pStyle w:val="Heading2"/>
      </w:pPr>
      <w:r>
        <w:t>5. Common Blockers</w:t>
      </w:r>
    </w:p>
    <w:p>
      <w:r>
        <w:t>- [BLOCKER] System connectivity or missing documentation in Admission and Discharge.</w:t>
      </w:r>
    </w:p>
    <w:p>
      <w:r>
        <w:t>- [BLOCKER] Bed, reagent, medication, or personnel resource constraints during peak hours.</w:t>
      </w:r>
    </w:p>
    <w:p>
      <w:pPr>
        <w:pStyle w:val="Heading2"/>
      </w:pPr>
      <w:r>
        <w:t>6. Escalation Conditions</w:t>
      </w:r>
    </w:p>
    <w:p>
      <w:r>
        <w:t>- [ESCALATION] Delays exceeding 2 hours must be escalated to the Operations Manager.</w:t>
      </w:r>
    </w:p>
    <w:p>
      <w:r>
        <w:t>- [ESCALATION] Clinical complications or safety hazards must be escalated immediately to Clinical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SOP-TRF-001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