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80"/>
        <w:jc w:val="center"/>
      </w:pPr>
      <w:r>
        <w:rPr>
          <w:rFonts w:ascii="Arial" w:hAnsi="Arial" w:cs="Arial" w:eastAsia="Arial"/>
          <w:b/>
          <w:color w:val="17365D"/>
          <w:sz w:val="54"/>
        </w:rPr>
        <w:t>WORD TOOLKIT</w:t>
      </w:r>
    </w:p>
    <w:p>
      <w:pPr>
        <w:jc w:val="center"/>
      </w:pPr>
      <w:r>
        <w:rPr>
          <w:rFonts w:ascii="Arial" w:hAnsi="Arial" w:cs="Arial" w:eastAsia="Arial"/>
          <w:b/>
          <w:color w:val="C00000"/>
          <w:sz w:val="32"/>
        </w:rPr>
        <w:t>15-Page Deliberately Defective Test Document</w:t>
      </w:r>
    </w:p>
    <w:p>
      <w:pPr>
        <w:jc w:val="center"/>
      </w:pPr>
      <w:r>
        <w:rPr>
          <w:rFonts w:ascii="Arial" w:hAnsi="Arial" w:cs="Arial" w:eastAsia="Arial"/>
          <w:b w:val="0"/>
          <w:i/>
          <w:color w:val="666666"/>
          <w:sz w:val="18"/>
        </w:rPr>
        <w:t>Synthetic content only • formatting, numbering, footnotes, citations and text-normalisation stress tests</w:t>
      </w:r>
    </w:p>
    <w:p>
      <w:pPr>
        <w:pStyle w:val="Heading1"/>
      </w:pPr>
      <w:r>
        <w:t>PURPOSE AND SAFE USE</w:t>
      </w:r>
    </w:p>
    <w:p>
      <w:r>
        <w:t>This file is a controlled test fixture, not a real legal instrument or a reliable source of legal, scientific or bibliographic authority. Names, journals, cases, books, identifiers and contact details are fictional or reserved examples. The anomalies are deliberate. Keep an untouched original copy and run the add-in on a duplicate.</w:t>
      </w:r>
    </w:p>
    <w:p>
      <w:r>
        <w:t>Recommended workflow: (1) create a copy; (2) run read-only audits first; (3) inspect each proposed change; (4) apply one feature at a time; (5) compare the result with the companion test manifest; and (6) retain before/after copies. Never treat a high confidence score as permission to destroy source text without verification.</w:t>
      </w:r>
    </w:p>
    <w:p>
      <w:pPr>
        <w:pStyle w:val="Heading1"/>
      </w:pPr>
      <w:r>
        <w:t>PAGE MAP</w:t>
      </w:r>
    </w:p>
    <w:tbl>
      <w:tblPr>
        <w:tblStyle w:val="TableGrid"/>
        <w:tblW w:type="auto" w:w="0"/>
        <w:jc w:val="center"/>
        <w:tblLook w:firstColumn="1" w:firstRow="1" w:lastColumn="0" w:lastRow="0" w:noHBand="0" w:noVBand="1" w:val="04A0"/>
      </w:tblPr>
      <w:tblGrid>
        <w:gridCol w:w="4917"/>
        <w:gridCol w:w="4917"/>
      </w:tblGrid>
      <w:tr>
        <w:tc>
          <w:tcPr>
            <w:tcW w:type="dxa" w:w="4917"/>
            <w:vAlign w:val="center"/>
            <w:shd w:fill="17365D"/>
          </w:tcPr>
          <w:p>
            <w:pPr>
              <w:spacing w:after="0"/>
            </w:pPr>
            <w:r/>
            <w:r>
              <w:rPr>
                <w:rFonts w:ascii="Arial" w:hAnsi="Arial" w:cs="Arial" w:eastAsia="Arial"/>
                <w:b/>
                <w:color w:val="FFFFFF"/>
                <w:sz w:val="18"/>
              </w:rPr>
              <w:t>Page</w:t>
            </w:r>
          </w:p>
        </w:tc>
        <w:tc>
          <w:tcPr>
            <w:tcW w:type="dxa" w:w="4917"/>
            <w:vAlign w:val="center"/>
            <w:shd w:fill="17365D"/>
          </w:tcPr>
          <w:p>
            <w:pPr>
              <w:spacing w:after="0"/>
            </w:pPr>
            <w:r/>
            <w:r>
              <w:rPr>
                <w:rFonts w:ascii="Arial" w:hAnsi="Arial" w:cs="Arial" w:eastAsia="Arial"/>
                <w:b/>
                <w:color w:val="FFFFFF"/>
                <w:sz w:val="18"/>
              </w:rPr>
              <w:t>Intended test area</w:t>
            </w:r>
          </w:p>
        </w:tc>
      </w:tr>
      <w:tr>
        <w:tc>
          <w:tcPr>
            <w:tcW w:type="dxa" w:w="4917"/>
            <w:vAlign w:val="center"/>
          </w:tcPr>
          <w:p>
            <w:pPr>
              <w:spacing w:after="0"/>
            </w:pPr>
            <w:r/>
            <w:r>
              <w:rPr>
                <w:rFonts w:ascii="Arial" w:hAnsi="Arial" w:cs="Arial" w:eastAsia="Arial"/>
                <w:b/>
                <w:sz w:val="17"/>
              </w:rPr>
              <w:t>02</w:t>
            </w:r>
          </w:p>
        </w:tc>
        <w:tc>
          <w:tcPr>
            <w:tcW w:type="dxa" w:w="4917"/>
            <w:vAlign w:val="center"/>
          </w:tcPr>
          <w:p>
            <w:pPr>
              <w:spacing w:after="0"/>
            </w:pPr>
            <w:r/>
            <w:r>
              <w:rPr>
                <w:rFonts w:ascii="Arial" w:hAnsi="Arial" w:cs="Arial" w:eastAsia="Arial"/>
                <w:b w:val="0"/>
                <w:sz w:val="17"/>
              </w:rPr>
              <w:t>Direct formatting conflicts</w:t>
            </w:r>
          </w:p>
        </w:tc>
      </w:tr>
      <w:tr>
        <w:tc>
          <w:tcPr>
            <w:tcW w:type="dxa" w:w="4917"/>
            <w:vAlign w:val="center"/>
          </w:tcPr>
          <w:p>
            <w:pPr>
              <w:spacing w:after="0"/>
            </w:pPr>
            <w:r/>
            <w:r>
              <w:rPr>
                <w:rFonts w:ascii="Arial" w:hAnsi="Arial" w:cs="Arial" w:eastAsia="Arial"/>
                <w:b/>
                <w:sz w:val="17"/>
              </w:rPr>
              <w:t>03</w:t>
            </w:r>
          </w:p>
        </w:tc>
        <w:tc>
          <w:tcPr>
            <w:tcW w:type="dxa" w:w="4917"/>
            <w:vAlign w:val="center"/>
          </w:tcPr>
          <w:p>
            <w:pPr>
              <w:spacing w:after="0"/>
            </w:pPr>
            <w:r/>
            <w:r>
              <w:rPr>
                <w:rFonts w:ascii="Arial" w:hAnsi="Arial" w:cs="Arial" w:eastAsia="Arial"/>
                <w:b w:val="0"/>
                <w:sz w:val="17"/>
              </w:rPr>
              <w:t>Whitespace, tabs and manual line breaks</w:t>
            </w:r>
          </w:p>
        </w:tc>
      </w:tr>
      <w:tr>
        <w:tc>
          <w:tcPr>
            <w:tcW w:type="dxa" w:w="4917"/>
            <w:vAlign w:val="center"/>
          </w:tcPr>
          <w:p>
            <w:pPr>
              <w:spacing w:after="0"/>
            </w:pPr>
            <w:r/>
            <w:r>
              <w:rPr>
                <w:rFonts w:ascii="Arial" w:hAnsi="Arial" w:cs="Arial" w:eastAsia="Arial"/>
                <w:b/>
                <w:sz w:val="17"/>
              </w:rPr>
              <w:t>04</w:t>
            </w:r>
          </w:p>
        </w:tc>
        <w:tc>
          <w:tcPr>
            <w:tcW w:type="dxa" w:w="4917"/>
            <w:vAlign w:val="center"/>
          </w:tcPr>
          <w:p>
            <w:pPr>
              <w:spacing w:after="0"/>
            </w:pPr>
            <w:r/>
            <w:r>
              <w:rPr>
                <w:rFonts w:ascii="Arial" w:hAnsi="Arial" w:cs="Arial" w:eastAsia="Arial"/>
                <w:b w:val="0"/>
                <w:sz w:val="17"/>
              </w:rPr>
              <w:t>Heading and style hierarchy</w:t>
            </w:r>
          </w:p>
        </w:tc>
      </w:tr>
      <w:tr>
        <w:tc>
          <w:tcPr>
            <w:tcW w:type="dxa" w:w="4917"/>
            <w:vAlign w:val="center"/>
          </w:tcPr>
          <w:p>
            <w:pPr>
              <w:spacing w:after="0"/>
            </w:pPr>
            <w:r/>
            <w:r>
              <w:rPr>
                <w:rFonts w:ascii="Arial" w:hAnsi="Arial" w:cs="Arial" w:eastAsia="Arial"/>
                <w:b/>
                <w:sz w:val="17"/>
              </w:rPr>
              <w:t>05</w:t>
            </w:r>
          </w:p>
        </w:tc>
        <w:tc>
          <w:tcPr>
            <w:tcW w:type="dxa" w:w="4917"/>
            <w:vAlign w:val="center"/>
          </w:tcPr>
          <w:p>
            <w:pPr>
              <w:spacing w:after="0"/>
            </w:pPr>
            <w:r/>
            <w:r>
              <w:rPr>
                <w:rFonts w:ascii="Arial" w:hAnsi="Arial" w:cs="Arial" w:eastAsia="Arial"/>
                <w:b w:val="0"/>
                <w:sz w:val="17"/>
              </w:rPr>
              <w:t>Native vs manually typed numbering</w:t>
            </w:r>
          </w:p>
        </w:tc>
      </w:tr>
      <w:tr>
        <w:tc>
          <w:tcPr>
            <w:tcW w:type="dxa" w:w="4917"/>
            <w:vAlign w:val="center"/>
          </w:tcPr>
          <w:p>
            <w:pPr>
              <w:spacing w:after="0"/>
            </w:pPr>
            <w:r/>
            <w:r>
              <w:rPr>
                <w:rFonts w:ascii="Arial" w:hAnsi="Arial" w:cs="Arial" w:eastAsia="Arial"/>
                <w:b/>
                <w:sz w:val="17"/>
              </w:rPr>
              <w:t>06</w:t>
            </w:r>
          </w:p>
        </w:tc>
        <w:tc>
          <w:tcPr>
            <w:tcW w:type="dxa" w:w="4917"/>
            <w:vAlign w:val="center"/>
          </w:tcPr>
          <w:p>
            <w:pPr>
              <w:spacing w:after="0"/>
            </w:pPr>
            <w:r/>
            <w:r>
              <w:rPr>
                <w:rFonts w:ascii="Arial" w:hAnsi="Arial" w:cs="Arial" w:eastAsia="Arial"/>
                <w:b w:val="0"/>
                <w:sz w:val="17"/>
              </w:rPr>
              <w:t>Ordinal suffixes 1st–200th</w:t>
            </w:r>
          </w:p>
        </w:tc>
      </w:tr>
      <w:tr>
        <w:tc>
          <w:tcPr>
            <w:tcW w:type="dxa" w:w="4917"/>
            <w:vAlign w:val="center"/>
          </w:tcPr>
          <w:p>
            <w:pPr>
              <w:spacing w:after="0"/>
            </w:pPr>
            <w:r/>
            <w:r>
              <w:rPr>
                <w:rFonts w:ascii="Arial" w:hAnsi="Arial" w:cs="Arial" w:eastAsia="Arial"/>
                <w:b/>
                <w:sz w:val="17"/>
              </w:rPr>
              <w:t>07</w:t>
            </w:r>
          </w:p>
        </w:tc>
        <w:tc>
          <w:tcPr>
            <w:tcW w:type="dxa" w:w="4917"/>
            <w:vAlign w:val="center"/>
          </w:tcPr>
          <w:p>
            <w:pPr>
              <w:spacing w:after="0"/>
            </w:pPr>
            <w:r/>
            <w:r>
              <w:rPr>
                <w:rFonts w:ascii="Arial" w:hAnsi="Arial" w:cs="Arial" w:eastAsia="Arial"/>
                <w:b w:val="0"/>
                <w:sz w:val="17"/>
              </w:rPr>
              <w:t>High-confidence flattened footnotes</w:t>
            </w:r>
          </w:p>
        </w:tc>
      </w:tr>
      <w:tr>
        <w:tc>
          <w:tcPr>
            <w:tcW w:type="dxa" w:w="4917"/>
            <w:vAlign w:val="center"/>
          </w:tcPr>
          <w:p>
            <w:pPr>
              <w:spacing w:after="0"/>
            </w:pPr>
            <w:r/>
            <w:r>
              <w:rPr>
                <w:rFonts w:ascii="Arial" w:hAnsi="Arial" w:cs="Arial" w:eastAsia="Arial"/>
                <w:b/>
                <w:sz w:val="17"/>
              </w:rPr>
              <w:t>08</w:t>
            </w:r>
          </w:p>
        </w:tc>
        <w:tc>
          <w:tcPr>
            <w:tcW w:type="dxa" w:w="4917"/>
            <w:vAlign w:val="center"/>
          </w:tcPr>
          <w:p>
            <w:pPr>
              <w:spacing w:after="0"/>
            </w:pPr>
            <w:r/>
            <w:r>
              <w:rPr>
                <w:rFonts w:ascii="Arial" w:hAnsi="Arial" w:cs="Arial" w:eastAsia="Arial"/>
                <w:b w:val="0"/>
                <w:sz w:val="17"/>
              </w:rPr>
              <w:t>Low-confidence block selection</w:t>
            </w:r>
          </w:p>
        </w:tc>
      </w:tr>
      <w:tr>
        <w:tc>
          <w:tcPr>
            <w:tcW w:type="dxa" w:w="4917"/>
            <w:vAlign w:val="center"/>
          </w:tcPr>
          <w:p>
            <w:pPr>
              <w:spacing w:after="0"/>
            </w:pPr>
            <w:r/>
            <w:r>
              <w:rPr>
                <w:rFonts w:ascii="Arial" w:hAnsi="Arial" w:cs="Arial" w:eastAsia="Arial"/>
                <w:b/>
                <w:sz w:val="17"/>
              </w:rPr>
              <w:t>09</w:t>
            </w:r>
          </w:p>
        </w:tc>
        <w:tc>
          <w:tcPr>
            <w:tcW w:type="dxa" w:w="4917"/>
            <w:vAlign w:val="center"/>
          </w:tcPr>
          <w:p>
            <w:pPr>
              <w:spacing w:after="0"/>
            </w:pPr>
            <w:r/>
            <w:r>
              <w:rPr>
                <w:rFonts w:ascii="Arial" w:hAnsi="Arial" w:cs="Arial" w:eastAsia="Arial"/>
                <w:b w:val="0"/>
                <w:sz w:val="17"/>
              </w:rPr>
              <w:t>Mixed native and corrupted footnotes</w:t>
            </w:r>
          </w:p>
        </w:tc>
      </w:tr>
      <w:tr>
        <w:tc>
          <w:tcPr>
            <w:tcW w:type="dxa" w:w="4917"/>
            <w:vAlign w:val="center"/>
          </w:tcPr>
          <w:p>
            <w:pPr>
              <w:spacing w:after="0"/>
            </w:pPr>
            <w:r/>
            <w:r>
              <w:rPr>
                <w:rFonts w:ascii="Arial" w:hAnsi="Arial" w:cs="Arial" w:eastAsia="Arial"/>
                <w:b/>
                <w:sz w:val="17"/>
              </w:rPr>
              <w:t>10</w:t>
            </w:r>
          </w:p>
        </w:tc>
        <w:tc>
          <w:tcPr>
            <w:tcW w:type="dxa" w:w="4917"/>
            <w:vAlign w:val="center"/>
          </w:tcPr>
          <w:p>
            <w:pPr>
              <w:spacing w:after="0"/>
            </w:pPr>
            <w:r/>
            <w:r>
              <w:rPr>
                <w:rFonts w:ascii="Arial" w:hAnsi="Arial" w:cs="Arial" w:eastAsia="Arial"/>
                <w:b w:val="0"/>
                <w:sz w:val="17"/>
              </w:rPr>
              <w:t>Citation-style recognition corpus</w:t>
            </w:r>
          </w:p>
        </w:tc>
      </w:tr>
      <w:tr>
        <w:tc>
          <w:tcPr>
            <w:tcW w:type="dxa" w:w="4917"/>
            <w:vAlign w:val="center"/>
          </w:tcPr>
          <w:p>
            <w:pPr>
              <w:spacing w:after="0"/>
            </w:pPr>
            <w:r/>
            <w:r>
              <w:rPr>
                <w:rFonts w:ascii="Arial" w:hAnsi="Arial" w:cs="Arial" w:eastAsia="Arial"/>
                <w:b/>
                <w:sz w:val="17"/>
              </w:rPr>
              <w:t>11</w:t>
            </w:r>
          </w:p>
        </w:tc>
        <w:tc>
          <w:tcPr>
            <w:tcW w:type="dxa" w:w="4917"/>
            <w:vAlign w:val="center"/>
          </w:tcPr>
          <w:p>
            <w:pPr>
              <w:spacing w:after="0"/>
            </w:pPr>
            <w:r/>
            <w:r>
              <w:rPr>
                <w:rFonts w:ascii="Arial" w:hAnsi="Arial" w:cs="Arial" w:eastAsia="Arial"/>
                <w:b w:val="0"/>
                <w:sz w:val="17"/>
              </w:rPr>
              <w:t>Citation inconsistency and matching</w:t>
            </w:r>
          </w:p>
        </w:tc>
      </w:tr>
      <w:tr>
        <w:tc>
          <w:tcPr>
            <w:tcW w:type="dxa" w:w="4917"/>
            <w:vAlign w:val="center"/>
          </w:tcPr>
          <w:p>
            <w:pPr>
              <w:spacing w:after="0"/>
            </w:pPr>
            <w:r/>
            <w:r>
              <w:rPr>
                <w:rFonts w:ascii="Arial" w:hAnsi="Arial" w:cs="Arial" w:eastAsia="Arial"/>
                <w:b/>
                <w:sz w:val="17"/>
              </w:rPr>
              <w:t>12</w:t>
            </w:r>
          </w:p>
        </w:tc>
        <w:tc>
          <w:tcPr>
            <w:tcW w:type="dxa" w:w="4917"/>
            <w:vAlign w:val="center"/>
          </w:tcPr>
          <w:p>
            <w:pPr>
              <w:spacing w:after="0"/>
            </w:pPr>
            <w:r/>
            <w:r>
              <w:rPr>
                <w:rFonts w:ascii="Arial" w:hAnsi="Arial" w:cs="Arial" w:eastAsia="Arial"/>
                <w:b w:val="0"/>
                <w:sz w:val="17"/>
              </w:rPr>
              <w:t>Tables, images and layout</w:t>
            </w:r>
          </w:p>
        </w:tc>
      </w:tr>
      <w:tr>
        <w:tc>
          <w:tcPr>
            <w:tcW w:type="dxa" w:w="4917"/>
            <w:vAlign w:val="center"/>
          </w:tcPr>
          <w:p>
            <w:pPr>
              <w:spacing w:after="0"/>
            </w:pPr>
            <w:r/>
            <w:r>
              <w:rPr>
                <w:rFonts w:ascii="Arial" w:hAnsi="Arial" w:cs="Arial" w:eastAsia="Arial"/>
                <w:b/>
                <w:sz w:val="17"/>
              </w:rPr>
              <w:t>13</w:t>
            </w:r>
          </w:p>
        </w:tc>
        <w:tc>
          <w:tcPr>
            <w:tcW w:type="dxa" w:w="4917"/>
            <w:vAlign w:val="center"/>
          </w:tcPr>
          <w:p>
            <w:pPr>
              <w:spacing w:after="0"/>
            </w:pPr>
            <w:r/>
            <w:r>
              <w:rPr>
                <w:rFonts w:ascii="Arial" w:hAnsi="Arial" w:cs="Arial" w:eastAsia="Arial"/>
                <w:b w:val="0"/>
                <w:sz w:val="17"/>
              </w:rPr>
              <w:t>Search/replace, reusable content, links/bookmarks</w:t>
            </w:r>
          </w:p>
        </w:tc>
      </w:tr>
      <w:tr>
        <w:tc>
          <w:tcPr>
            <w:tcW w:type="dxa" w:w="4917"/>
            <w:vAlign w:val="center"/>
          </w:tcPr>
          <w:p>
            <w:pPr>
              <w:spacing w:after="0"/>
            </w:pPr>
            <w:r/>
            <w:r>
              <w:rPr>
                <w:rFonts w:ascii="Arial" w:hAnsi="Arial" w:cs="Arial" w:eastAsia="Arial"/>
                <w:b/>
                <w:sz w:val="17"/>
              </w:rPr>
              <w:t>14</w:t>
            </w:r>
          </w:p>
        </w:tc>
        <w:tc>
          <w:tcPr>
            <w:tcW w:type="dxa" w:w="4917"/>
            <w:vAlign w:val="center"/>
          </w:tcPr>
          <w:p>
            <w:pPr>
              <w:spacing w:after="0"/>
            </w:pPr>
            <w:r/>
            <w:r>
              <w:rPr>
                <w:rFonts w:ascii="Arial" w:hAnsi="Arial" w:cs="Arial" w:eastAsia="Arial"/>
                <w:b w:val="0"/>
                <w:sz w:val="17"/>
              </w:rPr>
              <w:t>Redaction and sensitive-data patterns</w:t>
            </w:r>
          </w:p>
        </w:tc>
      </w:tr>
      <w:tr>
        <w:tc>
          <w:tcPr>
            <w:tcW w:type="dxa" w:w="4917"/>
            <w:vAlign w:val="center"/>
          </w:tcPr>
          <w:p>
            <w:pPr>
              <w:spacing w:after="0"/>
            </w:pPr>
            <w:r/>
            <w:r>
              <w:rPr>
                <w:rFonts w:ascii="Arial" w:hAnsi="Arial" w:cs="Arial" w:eastAsia="Arial"/>
                <w:b/>
                <w:sz w:val="17"/>
              </w:rPr>
              <w:t>15</w:t>
            </w:r>
          </w:p>
        </w:tc>
        <w:tc>
          <w:tcPr>
            <w:tcW w:type="dxa" w:w="4917"/>
            <w:vAlign w:val="center"/>
          </w:tcPr>
          <w:p>
            <w:pPr>
              <w:spacing w:after="0"/>
            </w:pPr>
            <w:r/>
            <w:r>
              <w:rPr>
                <w:rFonts w:ascii="Arial" w:hAnsi="Arial" w:cs="Arial" w:eastAsia="Arial"/>
                <w:b w:val="0"/>
                <w:sz w:val="17"/>
              </w:rPr>
              <w:t>Combined regression scenario</w:t>
            </w:r>
          </w:p>
        </w:tc>
      </w:tr>
    </w:tbl>
    <w:p>
      <w:pPr>
        <w:spacing w:after="0"/>
      </w:pPr>
      <w:r>
        <w:t>Coverage note: this single file can exercise in-document functionality. Batch processing across multiple files, splitting/merging documents, mail merge and some Word-client-specific behaviours require additional fixture files or live Word integration tests.</w:t>
      </w:r>
    </w:p>
    <w:p>
      <w:r>
        <w:br w:type="page"/>
      </w:r>
    </w:p>
    <w:p>
      <w:pPr>
        <w:spacing w:after="60"/>
      </w:pPr>
      <w:r>
        <w:rPr>
          <w:rFonts w:ascii="Arial" w:hAnsi="Arial" w:cs="Arial" w:eastAsia="Arial"/>
          <w:b/>
          <w:color w:val="17365D"/>
          <w:sz w:val="30"/>
        </w:rPr>
        <w:t>TEST PAGE 02  |  Direct formatting conflicts</w:t>
      </w:r>
    </w:p>
    <w:p>
      <w:pPr>
        <w:spacing w:after="120"/>
      </w:pPr>
      <w:r>
        <w:rPr>
          <w:rFonts w:ascii="Arial" w:hAnsi="Arial" w:cs="Arial" w:eastAsia="Arial"/>
          <w:b w:val="0"/>
          <w:i/>
          <w:color w:val="666666"/>
          <w:sz w:val="17"/>
        </w:rPr>
        <w:t>Expected: profile-based formatting should change only explicitly targeted properties.</w:t>
      </w:r>
    </w:p>
    <w:p>
      <w:pPr>
        <w:pStyle w:val="Heading1"/>
      </w:pPr>
      <w:r>
        <w:t>BACKGROUND</w:t>
      </w:r>
    </w:p>
    <w:p>
      <w:r>
        <w:t>The same paragraph-level content is intentionally represented in inconsistent ways. Some text is much too large, some is colored, some uses a nonstandard font, and some is centered or right aligned without semantic reason.</w:t>
      </w:r>
    </w:p>
    <w:p>
      <w:pPr>
        <w:spacing w:before="0" w:after="0" w:line="552" w:lineRule="auto"/>
      </w:pPr>
      <w:r>
        <w:rPr>
          <w:rFonts w:ascii="Courier New" w:hAnsi="Courier New" w:cs="Courier New" w:eastAsia="Courier New"/>
          <w:b w:val="0"/>
          <w:color w:val="FF0000"/>
          <w:sz w:val="24"/>
        </w:rPr>
        <w:t>This paragraph has excessive line spacing and no trailing space.</w:t>
      </w:r>
    </w:p>
    <w:p>
      <w:pPr>
        <w:spacing w:before="440" w:after="360"/>
        <w:ind w:left="1152" w:hanging="504"/>
      </w:pPr>
      <w:r>
        <w:rPr>
          <w:rFonts w:ascii="Times New Roman" w:hAnsi="Times New Roman" w:cs="Times New Roman" w:eastAsia="Times New Roman"/>
          <w:b/>
          <w:color w:val="008000"/>
          <w:sz w:val="26"/>
        </w:rPr>
        <w:t>A hanging indent appears here even though this is ordinary prose and not a bibliography entry.</w:t>
      </w:r>
    </w:p>
    <w:p>
      <w:pPr>
        <w:jc w:val="center"/>
      </w:pPr>
      <w:r>
        <w:rPr>
          <w:rFonts w:ascii="Calibri" w:hAnsi="Calibri" w:cs="Calibri" w:eastAsia="Calibri"/>
          <w:b/>
          <w:color w:val="7030A0"/>
          <w:sz w:val="28"/>
        </w:rPr>
        <w:t>ALL CAPS HEADING THAT IS NOT A HEADING STYLE</w:t>
      </w:r>
    </w:p>
    <w:p>
      <w:pPr>
        <w:jc w:val="right"/>
      </w:pPr>
      <w:r>
        <w:rPr>
          <w:rFonts w:ascii="Comic Sans MS" w:hAnsi="Comic Sans MS" w:cs="Comic Sans MS" w:eastAsia="Comic Sans MS"/>
          <w:b w:val="0"/>
          <w:color w:val="0070C0"/>
          <w:sz w:val="16"/>
        </w:rPr>
        <w:t>ordinary body text</w:t>
      </w:r>
    </w:p>
    <w:p>
      <w:r>
        <w:t xml:space="preserve">Some phrases are bold, some italic, some underlined, and some accidentally inherit all three. </w:t>
      </w:r>
      <w:r>
        <w:rPr>
          <w:rFonts w:ascii="Arial" w:hAnsi="Arial" w:cs="Arial" w:eastAsia="Arial"/>
          <w:b/>
          <w:sz w:val="20"/>
        </w:rPr>
        <w:t xml:space="preserve">BOLD ONLY </w:t>
      </w:r>
      <w:r>
        <w:rPr>
          <w:rFonts w:ascii="Georgia" w:hAnsi="Georgia" w:cs="Georgia" w:eastAsia="Georgia"/>
          <w:b w:val="0"/>
          <w:i/>
          <w:sz w:val="20"/>
        </w:rPr>
        <w:t xml:space="preserve">ITALIC ONLY </w:t>
      </w:r>
      <w:r>
        <w:rPr>
          <w:rFonts w:ascii="Verdana" w:hAnsi="Verdana" w:cs="Verdana" w:eastAsia="Verdana"/>
          <w:b w:val="0"/>
          <w:sz w:val="20"/>
          <w:u w:val="single"/>
        </w:rPr>
        <w:t xml:space="preserve">UNDERLINED ONLY </w:t>
      </w:r>
      <w:r>
        <w:rPr>
          <w:rFonts w:ascii="Courier New" w:hAnsi="Courier New" w:cs="Courier New" w:eastAsia="Courier New"/>
          <w:b/>
          <w:i/>
          <w:color w:val="C00000"/>
          <w:sz w:val="22"/>
          <w:u w:val="single"/>
        </w:rPr>
        <w:t xml:space="preserve">ALL EMPHASES </w:t>
      </w:r>
    </w:p>
    <w:p>
      <w:pPr>
        <w:pStyle w:val="Quote"/>
      </w:pPr>
      <w:r>
        <w:t>Profile target for test only: set body to Arial 10 pt, left aligned, 1.15 line spacing, 0 pt before and 6 pt after; preserve intentional emphasis in runs. Do not apply this target automatically unless the tester selects it.</w:t>
      </w:r>
    </w:p>
    <w:p>
      <w:r>
        <w:br w:type="page"/>
      </w:r>
    </w:p>
    <w:p>
      <w:pPr>
        <w:spacing w:after="60"/>
      </w:pPr>
      <w:r>
        <w:rPr>
          <w:rFonts w:ascii="Arial" w:hAnsi="Arial" w:cs="Arial" w:eastAsia="Arial"/>
          <w:b/>
          <w:color w:val="17365D"/>
          <w:sz w:val="30"/>
        </w:rPr>
        <w:t>TEST PAGE 03  |  Whitespace, tabs and manual line breaks</w:t>
      </w:r>
    </w:p>
    <w:p>
      <w:pPr>
        <w:spacing w:after="120"/>
      </w:pPr>
      <w:r>
        <w:rPr>
          <w:rFonts w:ascii="Arial" w:hAnsi="Arial" w:cs="Arial" w:eastAsia="Arial"/>
          <w:b w:val="0"/>
          <w:i/>
          <w:color w:val="666666"/>
          <w:sz w:val="17"/>
        </w:rPr>
        <w:t>Expected: cleanup actions are separately selectable and previewed.</w:t>
      </w:r>
    </w:p>
    <w:p>
      <w:pPr>
        <w:pStyle w:val="Heading1"/>
      </w:pPr>
      <w:r>
        <w:t>CLEANUP CORPUS</w:t>
      </w:r>
    </w:p>
    <w:p>
      <w:r>
        <w:t>The following paragraphs contain accidental spacing.   There are three spaces after the period.     There are five here.</w:t>
      </w:r>
    </w:p>
    <w:p>
      <w:r>
        <w:t>A tab-delimited-looking line follows:</w:t>
      </w:r>
    </w:p>
    <w:p>
      <w:r>
        <w:t>Applicant:</w:t>
        <w:tab/>
        <w:tab/>
        <w:t xml:space="preserve"> Ada Example</w:t>
        <w:tab/>
        <w:tab/>
        <w:t>Role:</w:t>
        <w:tab/>
        <w:t>Reviewer</w:t>
        <w:tab/>
        <w:tab/>
        <w:t>Status:</w:t>
        <w:tab/>
        <w:t>Pending</w:t>
      </w:r>
    </w:p>
    <w:p>
      <w:r>
        <w:t xml:space="preserve">A line with trailing spaces is next:     </w:t>
      </w:r>
    </w:p>
    <w:p>
      <w:r>
        <w:t>This paragraph is followed by multiple empty paragraphs.</w:t>
      </w:r>
    </w:p>
    <w:p/>
    <w:p/>
    <w:p/>
    <w:p>
      <w:r>
        <w:t>The previous three paragraphs were empty on purpose; the next two lines are manual line breaks inside one paragraph:</w:t>
      </w:r>
    </w:p>
    <w:p>
      <w:r>
        <w:t>First line of a single paragraph.</w:t>
      </w:r>
      <w:r>
        <w:br/>
      </w:r>
      <w:r>
        <w:t>Second visual line created by a manual line break.</w:t>
      </w:r>
      <w:r>
        <w:br/>
      </w:r>
      <w:r>
        <w:t>Third visual line created by a manual line break.</w:t>
      </w:r>
    </w:p>
    <w:p>
      <w:r>
        <w:t>Mixed spacing around punctuation : this should be reviewed , not blindly rewritten . “Quoted text ” and ( bracketed text ) are included.</w:t>
      </w:r>
    </w:p>
    <w:p>
      <w:r>
        <w:t>Repeated phrase: REPLACE_TOKEN. Repeated phrase: REPLACE_TOKEN. Repeated phrase: REPLACE_TOKEN.</w:t>
      </w:r>
    </w:p>
    <w:p>
      <w:r>
        <w:t>NONBREAKING SPACE • em dash—attached • hyphen - separated • double   spaces. Some spaces are distinct Unicode characters.</w:t>
      </w:r>
    </w:p>
    <w:p>
      <w:r>
        <w:t>Test condition: the add-in must not remove all line breaks indiscriminately; it should distinguish hard paragraph boundaries from manual line breaks and offer targeted cleanup.</w:t>
      </w:r>
    </w:p>
    <w:p>
      <w:r>
        <w:br w:type="page"/>
      </w:r>
    </w:p>
    <w:p>
      <w:pPr>
        <w:spacing w:after="60"/>
      </w:pPr>
      <w:r>
        <w:rPr>
          <w:rFonts w:ascii="Arial" w:hAnsi="Arial" w:cs="Arial" w:eastAsia="Arial"/>
          <w:b/>
          <w:color w:val="17365D"/>
          <w:sz w:val="30"/>
        </w:rPr>
        <w:t>TEST PAGE 04  |  Heading and style hierarchy</w:t>
      </w:r>
    </w:p>
    <w:p>
      <w:pPr>
        <w:spacing w:after="120"/>
      </w:pPr>
      <w:r>
        <w:rPr>
          <w:rFonts w:ascii="Arial" w:hAnsi="Arial" w:cs="Arial" w:eastAsia="Arial"/>
          <w:b w:val="0"/>
          <w:i/>
          <w:color w:val="666666"/>
          <w:sz w:val="17"/>
        </w:rPr>
        <w:t>Expected: identify visual headings, incorrect semantic styles and inconsistent heading levels.</w:t>
      </w:r>
    </w:p>
    <w:p>
      <w:pPr>
        <w:pStyle w:val="Heading1"/>
      </w:pPr>
      <w:r>
        <w:t>1. INTRODUCTION</w:t>
      </w:r>
    </w:p>
    <w:p>
      <w:r>
        <w:t>This is ordinary body prose but should not necessarily be a heading. The next line looks like a heading but uses Normal style.</w:t>
      </w:r>
    </w:p>
    <w:p>
      <w:pPr>
        <w:spacing w:before="280" w:after="40"/>
      </w:pPr>
      <w:r>
        <w:rPr>
          <w:rFonts w:ascii="Arial" w:hAnsi="Arial" w:cs="Arial" w:eastAsia="Arial"/>
          <w:b/>
          <w:color w:val="000000"/>
          <w:sz w:val="24"/>
        </w:rPr>
        <w:t>1.1 Scope of this report</w:t>
      </w:r>
    </w:p>
    <w:p>
      <w:pPr>
        <w:pStyle w:val="Heading1"/>
      </w:pPr>
      <w:r>
        <w:rPr>
          <w:rFonts w:ascii="Times New Roman" w:hAnsi="Times New Roman" w:cs="Times New Roman" w:eastAsia="Times New Roman"/>
          <w:b w:val="0"/>
          <w:color w:val="FF0000"/>
          <w:sz w:val="18"/>
        </w:rPr>
        <w:t>1.1.1  SUBSCOPE</w:t>
      </w:r>
    </w:p>
    <w:p>
      <w:pPr>
        <w:pStyle w:val="Heading2"/>
      </w:pPr>
      <w:r>
        <w:t>This should be body text; deliberately assigned Heading 2 style.</w:t>
      </w:r>
    </w:p>
    <w:p>
      <w:pPr>
        <w:pStyle w:val="Heading1"/>
      </w:pPr>
      <w:r>
        <w:t>A visually ordinary paragraph that has been accidentally assigned Heading 1.</w:t>
      </w:r>
    </w:p>
    <w:p>
      <w:pPr/>
      <w:r>
        <w:rPr>
          <w:rFonts w:ascii="Arial" w:hAnsi="Arial" w:cs="Arial" w:eastAsia="Arial"/>
          <w:b/>
          <w:color w:val="17365D"/>
          <w:sz w:val="26"/>
        </w:rPr>
        <w:t>CHAPTER TWO — VISUAL ONLY</w:t>
      </w:r>
    </w:p>
    <w:p>
      <w:r>
        <w:t>The intended hierarchy is: document title, Heading 1 for top-level sections, Heading 2 for subsections, Heading 3 where necessary, and Normal for prose. However, do not infer hierarchy from appearance alone; preserve user review for ambiguous cases.</w:t>
      </w:r>
    </w:p>
    <w:p>
      <w:r>
        <w:t>Heading order is deliberately broken: Heading 3-like text appears before a proper Heading 2; the section numbers are manually typed and may conflict with actual heading structure.</w:t>
      </w:r>
    </w:p>
    <w:p>
      <w:r>
        <w:br w:type="page"/>
      </w:r>
    </w:p>
    <w:p>
      <w:pPr>
        <w:spacing w:after="60"/>
      </w:pPr>
      <w:r>
        <w:rPr>
          <w:rFonts w:ascii="Arial" w:hAnsi="Arial" w:cs="Arial" w:eastAsia="Arial"/>
          <w:b/>
          <w:color w:val="17365D"/>
          <w:sz w:val="30"/>
        </w:rPr>
        <w:t>TEST PAGE 05  |  Native and manually typed numbering</w:t>
      </w:r>
    </w:p>
    <w:p>
      <w:pPr>
        <w:spacing w:after="120"/>
      </w:pPr>
      <w:r>
        <w:rPr>
          <w:rFonts w:ascii="Arial" w:hAnsi="Arial" w:cs="Arial" w:eastAsia="Arial"/>
          <w:b w:val="0"/>
          <w:i/>
          <w:color w:val="666666"/>
          <w:sz w:val="17"/>
        </w:rPr>
        <w:t>Expected: audit the different structures before proposing separate repair actions.</w:t>
      </w:r>
    </w:p>
    <w:p>
      <w:pPr>
        <w:pStyle w:val="Heading2"/>
      </w:pPr>
      <w:r>
        <w:t>A. Native list sequence</w:t>
      </w:r>
    </w:p>
    <w:p>
      <w:pPr>
        <w:pStyle w:val="ListNumber"/>
      </w:pPr>
      <w:r>
        <w:t>First native list item — expected item 1.</w:t>
      </w:r>
    </w:p>
    <w:p>
      <w:pPr>
        <w:pStyle w:val="ListNumber"/>
      </w:pPr>
      <w:r>
        <w:t>Second native list item — expected item 2.</w:t>
      </w:r>
    </w:p>
    <w:p>
      <w:pPr>
        <w:pStyle w:val="ListNumber"/>
        <w:spacing w:after="280"/>
        <w:ind w:left="864"/>
      </w:pPr>
      <w:r>
        <w:rPr>
          <w:rFonts w:ascii="Arial" w:hAnsi="Arial" w:cs="Arial" w:eastAsia="Arial"/>
          <w:b/>
          <w:color w:val="C00000"/>
          <w:sz w:val="20"/>
        </w:rPr>
        <w:t>Third item has accidental bold and spacing.</w:t>
      </w:r>
    </w:p>
    <w:p>
      <w:pPr>
        <w:pStyle w:val="ListNumber"/>
      </w:pPr>
      <w:r>
        <w:t>Fourth item should continue the same sequence.</w:t>
      </w:r>
    </w:p>
    <w:p>
      <w:pPr>
        <w:pStyle w:val="Heading2"/>
      </w:pPr>
      <w:r>
        <w:t>B. Manually typed numbering</w:t>
      </w:r>
    </w:p>
    <w:p>
      <w:pPr>
        <w:spacing w:after="60"/>
        <w:ind w:left="0"/>
      </w:pPr>
      <w:r>
        <w:t>1. The initial manually numbered paragraph.</w:t>
      </w:r>
    </w:p>
    <w:p>
      <w:pPr>
        <w:spacing w:after="60"/>
        <w:ind w:left="0"/>
      </w:pPr>
      <w:r>
        <w:t>2. The second manually numbered paragraph.</w:t>
      </w:r>
    </w:p>
    <w:p>
      <w:pPr>
        <w:spacing w:after="60"/>
        <w:ind w:left="0"/>
      </w:pPr>
      <w:r>
        <w:t>2. DUPLICATE NUMBER — should not be silently changed.</w:t>
      </w:r>
    </w:p>
    <w:p>
      <w:pPr>
        <w:spacing w:after="60"/>
        <w:ind w:left="0"/>
      </w:pPr>
      <w:r>
        <w:t>4. GAP — number 3 is missing.</w:t>
      </w:r>
    </w:p>
    <w:p>
      <w:pPr>
        <w:spacing w:after="60"/>
        <w:ind w:left="0"/>
      </w:pPr>
      <w:r>
        <w:t>3. Out-of-order number after 4.</w:t>
      </w:r>
    </w:p>
    <w:p>
      <w:pPr>
        <w:spacing w:after="60"/>
        <w:ind w:left="403"/>
      </w:pPr>
      <w:r>
        <w:t>(a) subparagraph typed manually</w:t>
      </w:r>
    </w:p>
    <w:p>
      <w:pPr>
        <w:spacing w:after="60"/>
        <w:ind w:left="403"/>
      </w:pPr>
      <w:r>
        <w:t>(b) second manual subparagraph</w:t>
      </w:r>
    </w:p>
    <w:p>
      <w:pPr>
        <w:spacing w:after="60"/>
        <w:ind w:left="403"/>
      </w:pPr>
      <w:r>
        <w:t>(iv) Roman numeral appears without i, ii, iii.</w:t>
      </w:r>
    </w:p>
    <w:p>
      <w:pPr>
        <w:spacing w:after="60"/>
        <w:ind w:left="0"/>
      </w:pPr>
      <w:r>
        <w:t>1. A new section may or may not intend numbering restart.</w:t>
      </w:r>
    </w:p>
    <w:p>
      <w:r>
        <w:t>Numeric references that are not list numbers: section 2.1; clause 10.4.2; page 12; Exhibit 3; the year 2024; 15 per cent. A broad number-replacement rule would damage these.</w:t>
      </w:r>
    </w:p>
    <w:p>
      <w:r>
        <w:br w:type="page"/>
      </w:r>
    </w:p>
    <w:p>
      <w:pPr>
        <w:spacing w:after="60"/>
      </w:pPr>
      <w:r>
        <w:rPr>
          <w:rFonts w:ascii="Arial" w:hAnsi="Arial" w:cs="Arial" w:eastAsia="Arial"/>
          <w:b/>
          <w:color w:val="17365D"/>
          <w:sz w:val="30"/>
        </w:rPr>
        <w:t>TEST PAGE 06  |  Ordinal suffix superscripting: 1st–200th</w:t>
      </w:r>
    </w:p>
    <w:p>
      <w:pPr>
        <w:spacing w:after="120"/>
      </w:pPr>
      <w:r>
        <w:rPr>
          <w:rFonts w:ascii="Arial" w:hAnsi="Arial" w:cs="Arial" w:eastAsia="Arial"/>
          <w:b w:val="0"/>
          <w:i/>
          <w:color w:val="666666"/>
          <w:sz w:val="17"/>
        </w:rPr>
        <w:t>Expected: superscript suffix only, using English ordinal rules; preserve the numeric portion.</w:t>
      </w:r>
    </w:p>
    <w:p>
      <w:r>
        <w:t>Automatic ordinal candidates from 1 through 200 are listed below. The suffix should be superscripted; the digits should remain baseline. Use this page to confirm full-range behaviour, including teen exceptions.</w:t>
      </w:r>
    </w:p>
    <w:p>
      <w:pPr>
        <w:spacing w:after="20" w:line="240" w:lineRule="auto"/>
      </w:pPr>
      <w:r>
        <w:rPr>
          <w:rFonts w:ascii="Arial" w:hAnsi="Arial" w:cs="Arial" w:eastAsia="Arial"/>
          <w:sz w:val="17"/>
        </w:rPr>
        <w:t>1st  2nd  3rd  4th  5th  6th  7th  8th  9th  10th  11th  12th  13th  14th  15th  16th  17th  18th  19th  20th</w:t>
      </w:r>
    </w:p>
    <w:p>
      <w:pPr>
        <w:spacing w:after="20" w:line="240" w:lineRule="auto"/>
      </w:pPr>
      <w:r>
        <w:rPr>
          <w:rFonts w:ascii="Arial" w:hAnsi="Arial" w:cs="Arial" w:eastAsia="Arial"/>
          <w:sz w:val="17"/>
        </w:rPr>
        <w:t>21st  22nd  23rd  24th  25th  26th  27th  28th  29th  30th  31st  32nd  33rd  34th  35th  36th  37th  38th  39th  40th</w:t>
      </w:r>
    </w:p>
    <w:p>
      <w:pPr>
        <w:spacing w:after="20" w:line="240" w:lineRule="auto"/>
      </w:pPr>
      <w:r>
        <w:rPr>
          <w:rFonts w:ascii="Arial" w:hAnsi="Arial" w:cs="Arial" w:eastAsia="Arial"/>
          <w:sz w:val="17"/>
        </w:rPr>
        <w:t>41st  42nd  43rd  44th  45th  46th  47th  48th  49th  50th  51st  52nd  53rd  54th  55th  56th  57th  58th  59th  60th</w:t>
      </w:r>
    </w:p>
    <w:p>
      <w:pPr>
        <w:spacing w:after="20" w:line="240" w:lineRule="auto"/>
      </w:pPr>
      <w:r>
        <w:rPr>
          <w:rFonts w:ascii="Arial" w:hAnsi="Arial" w:cs="Arial" w:eastAsia="Arial"/>
          <w:sz w:val="17"/>
        </w:rPr>
        <w:t>61st  62nd  63rd  64th  65th  66th  67th  68th  69th  70th  71st  72nd  73rd  74th  75th  76th  77th  78th  79th  80th</w:t>
      </w:r>
    </w:p>
    <w:p>
      <w:pPr>
        <w:spacing w:after="20" w:line="240" w:lineRule="auto"/>
      </w:pPr>
      <w:r>
        <w:rPr>
          <w:rFonts w:ascii="Arial" w:hAnsi="Arial" w:cs="Arial" w:eastAsia="Arial"/>
          <w:sz w:val="17"/>
        </w:rPr>
        <w:t>81st  82nd  83rd  84th  85th  86th  87th  88th  89th  90th  91st  92nd  93rd  94th  95th  96th  97th  98th  99th  100th</w:t>
      </w:r>
    </w:p>
    <w:p>
      <w:pPr>
        <w:spacing w:after="20" w:line="240" w:lineRule="auto"/>
      </w:pPr>
      <w:r>
        <w:rPr>
          <w:rFonts w:ascii="Arial" w:hAnsi="Arial" w:cs="Arial" w:eastAsia="Arial"/>
          <w:sz w:val="17"/>
        </w:rPr>
        <w:t>101st  102nd  103rd  104th  105th  106th  107th  108th  109th  110th  111th  112th  113th  114th  115th  116th  117th  118th  119th  120th</w:t>
      </w:r>
    </w:p>
    <w:p>
      <w:pPr>
        <w:spacing w:after="20" w:line="240" w:lineRule="auto"/>
      </w:pPr>
      <w:r>
        <w:rPr>
          <w:rFonts w:ascii="Arial" w:hAnsi="Arial" w:cs="Arial" w:eastAsia="Arial"/>
          <w:sz w:val="17"/>
        </w:rPr>
        <w:t>121st  122nd  123rd  124th  125th  126th  127th  128th  129th  130th  131st  132nd  133rd  134th  135th  136th  137th  138th  139th  140th</w:t>
      </w:r>
    </w:p>
    <w:p>
      <w:pPr>
        <w:spacing w:after="20" w:line="240" w:lineRule="auto"/>
      </w:pPr>
      <w:r>
        <w:rPr>
          <w:rFonts w:ascii="Arial" w:hAnsi="Arial" w:cs="Arial" w:eastAsia="Arial"/>
          <w:sz w:val="17"/>
        </w:rPr>
        <w:t>141st  142nd  143rd  144th  145th  146th  147th  148th  149th  150th  151st  152nd  153rd  154th  155th  156th  157th  158th  159th  160th</w:t>
      </w:r>
    </w:p>
    <w:p>
      <w:pPr>
        <w:spacing w:after="20" w:line="240" w:lineRule="auto"/>
      </w:pPr>
      <w:r>
        <w:rPr>
          <w:rFonts w:ascii="Arial" w:hAnsi="Arial" w:cs="Arial" w:eastAsia="Arial"/>
          <w:sz w:val="17"/>
        </w:rPr>
        <w:t>161st  162nd  163rd  164th  165th  166th  167th  168th  169th  170th  171st  172nd  173rd  174th  175th  176th  177th  178th  179th  180th</w:t>
      </w:r>
    </w:p>
    <w:p>
      <w:pPr>
        <w:spacing w:after="20" w:line="240" w:lineRule="auto"/>
      </w:pPr>
      <w:r>
        <w:rPr>
          <w:rFonts w:ascii="Arial" w:hAnsi="Arial" w:cs="Arial" w:eastAsia="Arial"/>
          <w:sz w:val="17"/>
        </w:rPr>
        <w:t>181st  182nd  183rd  184th  185th  186th  187th  188th  189th  190th  191st  192nd  193rd  194th  195th  196th  197th  198th  199th  200th</w:t>
      </w:r>
    </w:p>
    <w:p>
      <w:r>
        <w:t>Boundary and language cases: 1st September; 2nd attempt; 3rd respondent; 4th edition; 11th, 12th and 13th; 21st; 101st; 111th; 112th; 113th; 200th.</w:t>
      </w:r>
    </w:p>
    <w:p>
      <w:r>
        <w:t>False positives / malformed cases that should be reported or skipped: 1th, 2st, 3nd, 11st, 12nd, 13rd, 21th, 111st, 200nd; first; second; third; 1stStreet; Section 21st?; model X-4th-Alpha; https://example.invalid/21st-item.</w:t>
      </w:r>
    </w:p>
    <w:p>
      <w:r>
        <w:t>Contextual caution: in some house styles ordinal suffixes remain on the baseline. Superscripting must be a configurable operation with preview and no global default that overrides user preferences.</w:t>
      </w:r>
    </w:p>
    <w:p>
      <w:r>
        <w:br w:type="page"/>
      </w:r>
    </w:p>
    <w:p>
      <w:pPr>
        <w:spacing w:after="60"/>
      </w:pPr>
      <w:r>
        <w:rPr>
          <w:rFonts w:ascii="Arial" w:hAnsi="Arial" w:cs="Arial" w:eastAsia="Arial"/>
          <w:b/>
          <w:color w:val="17365D"/>
          <w:sz w:val="30"/>
        </w:rPr>
        <w:t>TEST PAGE 07  |  Flattened footnotes — high-confidence matching</w:t>
      </w:r>
    </w:p>
    <w:p>
      <w:pPr>
        <w:spacing w:after="120"/>
      </w:pPr>
      <w:r>
        <w:rPr>
          <w:rFonts w:ascii="Arial" w:hAnsi="Arial" w:cs="Arial" w:eastAsia="Arial"/>
          <w:b w:val="0"/>
          <w:i/>
          <w:color w:val="666666"/>
          <w:sz w:val="17"/>
        </w:rPr>
        <w:t>Expected: numbered superscript body references correspond in order to the plain-text notes near the bottom.</w:t>
      </w:r>
    </w:p>
    <w:p>
      <w:r>
        <w:t>For this test page, the markers below are formatted as superscript characters but are NOT genuine Word footnote objects. The note text is ordinary document text, intentionally flattened during a simulated conversion.</w:t>
      </w:r>
    </w:p>
    <w:p>
      <w:r>
        <w:t>The fictional protocol permits a reviewer to inspect supporting material before approval.</w:t>
      </w:r>
      <w:r>
        <w:rPr>
          <w:rFonts w:ascii="Arial" w:hAnsi="Arial" w:cs="Arial" w:eastAsia="Arial"/>
          <w:b w:val="0"/>
          <w:sz w:val="15"/>
          <w:vertAlign w:val="superscript"/>
        </w:rPr>
        <w:t>1</w:t>
      </w:r>
    </w:p>
    <w:p>
      <w:r>
        <w:t>A second proposition relies on a separately published fictional methods note.</w:t>
      </w:r>
      <w:r>
        <w:rPr>
          <w:rFonts w:ascii="Arial" w:hAnsi="Arial" w:cs="Arial" w:eastAsia="Arial"/>
          <w:b w:val="0"/>
          <w:sz w:val="15"/>
          <w:vertAlign w:val="superscript"/>
        </w:rPr>
        <w:t>2</w:t>
      </w:r>
    </w:p>
    <w:p>
      <w:r>
        <w:t>The final sentence refers to a third source and should be linked to note 3.</w:t>
      </w:r>
      <w:r>
        <w:rPr>
          <w:rFonts w:ascii="Arial" w:hAnsi="Arial" w:cs="Arial" w:eastAsia="Arial"/>
          <w:b w:val="0"/>
          <w:sz w:val="15"/>
          <w:vertAlign w:val="superscript"/>
        </w:rPr>
        <w:t>3</w:t>
      </w:r>
    </w:p>
    <w:p>
      <w:r>
        <w:t>The paragraphs above are intentionally short so that the note block can remain on the same page. Their text is synthetic and carries no authority.</w:t>
      </w:r>
    </w:p>
    <w:p>
      <w:pPr>
        <w:spacing w:before="280"/>
      </w:pPr>
      <w:r>
        <w:rPr>
          <w:rFonts w:ascii="Arial" w:hAnsi="Arial" w:cs="Arial" w:eastAsia="Arial"/>
          <w:b/>
          <w:color w:val="C00000"/>
          <w:sz w:val="18"/>
        </w:rPr>
        <w:t>FLATTENED FOOTNOTES — IMPORTED AS BODY TEXT</w:t>
      </w:r>
    </w:p>
    <w:p>
      <w:r>
        <w:t>1. N. Example, “A Synthetic Protocol for Document Testing”, Journal of Sample Methods 2 (2021), 14–16. [FICTIONAL SOURCE]</w:t>
      </w:r>
    </w:p>
    <w:p>
      <w:r>
        <w:t>2. O. Placeholder, “Review Workflows in Example Systems”, Test Review Quarterly 5 (2022), 30. [FICTIONAL SOURCE]</w:t>
      </w:r>
    </w:p>
    <w:p>
      <w:r>
        <w:t>3. L. Demo, Synthetic Documents and Reliable Processing (Example Press, 2023), 41. [FICTIONAL SOURCE]</w:t>
      </w:r>
    </w:p>
    <w:p>
      <w:r>
        <w:t>Expected match structure: reference 1 ↔ note 1; reference 2 ↔ note 2; reference 3 ↔ note 3. No real footnote objects exist on this page.</w:t>
      </w:r>
    </w:p>
    <w:p>
      <w:r>
        <w:br w:type="page"/>
      </w:r>
    </w:p>
    <w:p>
      <w:pPr>
        <w:spacing w:after="60"/>
      </w:pPr>
      <w:r>
        <w:rPr>
          <w:rFonts w:ascii="Arial" w:hAnsi="Arial" w:cs="Arial" w:eastAsia="Arial"/>
          <w:b/>
          <w:color w:val="17365D"/>
          <w:sz w:val="30"/>
        </w:rPr>
        <w:t>TEST PAGE 08  |  Flattened footnotes — low-confidence block selection</w:t>
      </w:r>
    </w:p>
    <w:p>
      <w:pPr>
        <w:spacing w:after="120"/>
      </w:pPr>
      <w:r>
        <w:rPr>
          <w:rFonts w:ascii="Arial" w:hAnsi="Arial" w:cs="Arial" w:eastAsia="Arial"/>
          <w:b w:val="0"/>
          <w:i/>
          <w:color w:val="666666"/>
          <w:sz w:val="17"/>
        </w:rPr>
        <w:t>Expected: do not guess. Ask the user to select the complete suspected footnote block on this page.</w:t>
      </w:r>
    </w:p>
    <w:p>
      <w:pPr>
        <w:pStyle w:val="Heading1"/>
      </w:pPr>
      <w:r>
        <w:t>SECTION 4 — REVIEW FINDINGS</w:t>
      </w:r>
    </w:p>
    <w:p>
      <w:r>
        <w:t>1. The review team records the first finding as a numbered paragraph, not a footnote marker.</w:t>
      </w:r>
    </w:p>
    <w:p>
      <w:r>
        <w:t>2. The second finding discusses a test result and may be mistaken for a citation reference.</w:t>
      </w:r>
    </w:p>
    <w:p>
      <w:r>
        <w:t>3. A third finding is followed by two numbered source notes elsewhere on the page.</w:t>
      </w:r>
    </w:p>
    <w:p>
      <w:r>
        <w:t>The proposition is supported by a source whose flattened marker is difficult to locate in the copied text 1; a second source may be represented by superscript 2 or an ordinary list number.</w:t>
      </w:r>
    </w:p>
    <w:p>
      <w:r>
        <w:t>A similar number appears in clause 2 and in the numbered findings above. Numbering alone is therefore insufficient evidence for deterministic matching.</w:t>
      </w:r>
    </w:p>
    <w:p>
      <w:pPr>
        <w:spacing w:before="200"/>
      </w:pPr>
      <w:r>
        <w:rPr>
          <w:rFonts w:ascii="Arial" w:hAnsi="Arial" w:cs="Arial" w:eastAsia="Arial"/>
          <w:b/>
          <w:color w:val="C00000"/>
          <w:sz w:val="18"/>
        </w:rPr>
        <w:t>POSSIBLE FOOTNOTE BLOCK — USER REVIEW REQUIRED</w:t>
      </w:r>
    </w:p>
    <w:p>
      <w:r>
        <w:t>1. R. Sample, “A Fictional Analysis of Review Errors”, 8 Example Studies 17 (2020).</w:t>
      </w:r>
    </w:p>
    <w:p>
      <w:r>
        <w:t>2. Id. at 19. [Possibly a short-form reference to note 1, but context is ambiguous.]</w:t>
      </w:r>
    </w:p>
    <w:p>
      <w:r>
        <w:t>3. A. Mock, Demonstration Cases for Document Tools (Test House, 2019), 88.</w:t>
      </w:r>
    </w:p>
    <w:p>
      <w:r>
        <w:t>4. Compare also the numbered paragraphs 1–3 under Section 4 above; these may be substantive paragraphs, not notes.</w:t>
      </w:r>
    </w:p>
    <w:p>
      <w:r>
        <w:t>USER-INTERACTION EXPECTATION: when matching certainty is low, offer a “Select footnote block” action and ask the user to highlight the whole suspected block. Restrict candidate note extraction to the selected range, show proposed matches, and require approval. Do not automatically delete any text.</w:t>
      </w:r>
    </w:p>
    <w:p>
      <w:r>
        <w:br w:type="page"/>
      </w:r>
    </w:p>
    <w:p>
      <w:pPr>
        <w:spacing w:after="60"/>
      </w:pPr>
      <w:r>
        <w:rPr>
          <w:rFonts w:ascii="Arial" w:hAnsi="Arial" w:cs="Arial" w:eastAsia="Arial"/>
          <w:b/>
          <w:color w:val="17365D"/>
          <w:sz w:val="30"/>
        </w:rPr>
        <w:t>TEST PAGE 09  |  Mixed native and corrupted footnotes</w:t>
      </w:r>
    </w:p>
    <w:p>
      <w:pPr>
        <w:spacing w:after="120"/>
      </w:pPr>
      <w:r>
        <w:rPr>
          <w:rFonts w:ascii="Arial" w:hAnsi="Arial" w:cs="Arial" w:eastAsia="Arial"/>
          <w:b w:val="0"/>
          <w:i/>
          <w:color w:val="666666"/>
          <w:sz w:val="17"/>
        </w:rPr>
        <w:t>Expected: retain genuine notes; identify flattened notes separately; avoid duplicate restoration.</w:t>
      </w:r>
    </w:p>
    <w:p>
      <w:r>
        <w:t>This page contains a genuine Word footnote reference at the end of this sentence</w:t>
      </w:r>
      <w:r>
        <w:t/>
      </w:r>
      <w:r>
        <w:footnoteReference w:id="1"/>
      </w:r>
      <w:r>
        <w:t>. The add-in should be able to distinguish it from plain text note candidates.</w:t>
      </w:r>
    </w:p>
    <w:p>
      <w:r>
        <w:t>A copied paragraph has lost its superscript formatting: The procedure described by Placeholder (2020) must be reviewed 1 and compared with the following note text.</w:t>
      </w:r>
    </w:p>
    <w:p>
      <w:r>
        <w:t>A second marker is duplicated in the source: The second proposition has a note marker 2, while a later sentence has another marker 2 that may be accidental.</w:t>
      </w:r>
    </w:p>
    <w:p>
      <w:r>
        <w:t>An orphaned marker appears here 9 with no corresponding note block. Another note seems to have been merged into the sentence: “...the record should be retained.” 3 A. Example, Synthetic Recordkeeping (Fictional Press, 2021), 5.</w:t>
      </w:r>
    </w:p>
    <w:p>
      <w:r>
        <w:t>A standalone fragment: (4) page 27 of a fictional methods report; followed by ordinary paragraph number 4 in the next section.</w:t>
      </w:r>
    </w:p>
    <w:p>
      <w:pPr>
        <w:pStyle w:val="Heading2"/>
      </w:pPr>
      <w:r>
        <w:t>Candidate flattened note block</w:t>
      </w:r>
    </w:p>
    <w:p>
      <w:r>
        <w:t>1. P. Placeholder, “Synthetic Procedure Notes”, 1 Journal of Fictional Work 7 (2020).</w:t>
      </w:r>
    </w:p>
    <w:p>
      <w:r>
        <w:t>2. T. Example, Document Conversion Patterns (Demo Books, 2022), 12.</w:t>
      </w:r>
    </w:p>
    <w:p>
      <w:r>
        <w:t>4. Missing note 3; this fourth note is deliberately out of sequence.</w:t>
      </w:r>
    </w:p>
    <w:p>
      <w:r>
        <w:t>Native footnote text (expected after fixture patch): “This is a genuine Word footnote inserted through the DOCX note structure. Do not duplicate it when repairing the flattened notes.”</w:t>
      </w:r>
    </w:p>
    <w:p>
      <w:r>
        <w:br w:type="page"/>
      </w:r>
    </w:p>
    <w:p>
      <w:pPr>
        <w:spacing w:after="60"/>
      </w:pPr>
      <w:r>
        <w:rPr>
          <w:rFonts w:ascii="Arial" w:hAnsi="Arial" w:cs="Arial" w:eastAsia="Arial"/>
          <w:b/>
          <w:color w:val="17365D"/>
          <w:sz w:val="30"/>
        </w:rPr>
        <w:t>TEST PAGE 10  |  Citation-style recognition corpus</w:t>
      </w:r>
    </w:p>
    <w:p>
      <w:pPr>
        <w:spacing w:after="120"/>
      </w:pPr>
      <w:r>
        <w:rPr>
          <w:rFonts w:ascii="Arial" w:hAnsi="Arial" w:cs="Arial" w:eastAsia="Arial"/>
          <w:b w:val="0"/>
          <w:i/>
          <w:color w:val="666666"/>
          <w:sz w:val="17"/>
        </w:rPr>
        <w:t>All cited works below are fictional. Identify candidate style patterns; do not validate them as real sources.</w:t>
      </w:r>
    </w:p>
    <w:p>
      <w:pPr>
        <w:pStyle w:val="Heading1"/>
      </w:pPr>
      <w:r>
        <w:t>One synthetic source represented in several styles</w:t>
      </w:r>
    </w:p>
    <w:p>
      <w:r>
        <w:t>Fictional source metadata used for this page: Ada Example, “Methods for Testing Document Repair,” Example Journal, volume 7, pages 41–58, published 2021. This is an invented source.</w:t>
      </w:r>
    </w:p>
    <w:p>
      <w:pPr>
        <w:spacing w:after="40"/>
      </w:pPr>
      <w:r>
        <w:rPr>
          <w:rFonts w:ascii="Arial" w:hAnsi="Arial" w:cs="Arial" w:eastAsia="Arial"/>
          <w:b/>
          <w:color w:val="17365D"/>
          <w:sz w:val="17"/>
        </w:rPr>
        <w:t xml:space="preserve">APA-like author–date: </w:t>
      </w:r>
      <w:r>
        <w:rPr>
          <w:rFonts w:ascii="Arial" w:hAnsi="Arial" w:cs="Arial" w:eastAsia="Arial"/>
          <w:sz w:val="17"/>
        </w:rPr>
        <w:t>A document repair rule should be tested before deployment (Example, 2021, p. 45).</w:t>
      </w:r>
    </w:p>
    <w:p>
      <w:pPr>
        <w:spacing w:after="40"/>
      </w:pPr>
      <w:r>
        <w:rPr>
          <w:rFonts w:ascii="Arial" w:hAnsi="Arial" w:cs="Arial" w:eastAsia="Arial"/>
          <w:b/>
          <w:color w:val="17365D"/>
          <w:sz w:val="17"/>
        </w:rPr>
        <w:t xml:space="preserve">MLA-like author–page: </w:t>
      </w:r>
      <w:r>
        <w:rPr>
          <w:rFonts w:ascii="Arial" w:hAnsi="Arial" w:cs="Arial" w:eastAsia="Arial"/>
          <w:sz w:val="17"/>
        </w:rPr>
        <w:t>A document repair rule should be tested before deployment (Example 45).</w:t>
      </w:r>
    </w:p>
    <w:p>
      <w:pPr>
        <w:spacing w:after="40"/>
      </w:pPr>
      <w:r>
        <w:rPr>
          <w:rFonts w:ascii="Arial" w:hAnsi="Arial" w:cs="Arial" w:eastAsia="Arial"/>
          <w:b/>
          <w:color w:val="17365D"/>
          <w:sz w:val="17"/>
        </w:rPr>
        <w:t xml:space="preserve">Harvard-like author–date: </w:t>
      </w:r>
      <w:r>
        <w:rPr>
          <w:rFonts w:ascii="Arial" w:hAnsi="Arial" w:cs="Arial" w:eastAsia="Arial"/>
          <w:sz w:val="17"/>
        </w:rPr>
        <w:t>A document repair rule should be tested before deployment (Example 2021: 45).</w:t>
      </w:r>
    </w:p>
    <w:p>
      <w:pPr>
        <w:spacing w:after="40"/>
      </w:pPr>
      <w:r>
        <w:rPr>
          <w:rFonts w:ascii="Arial" w:hAnsi="Arial" w:cs="Arial" w:eastAsia="Arial"/>
          <w:b/>
          <w:color w:val="17365D"/>
          <w:sz w:val="17"/>
        </w:rPr>
        <w:t xml:space="preserve">IEEE-like numeric: </w:t>
      </w:r>
      <w:r>
        <w:rPr>
          <w:rFonts w:ascii="Arial" w:hAnsi="Arial" w:cs="Arial" w:eastAsia="Arial"/>
          <w:sz w:val="17"/>
        </w:rPr>
        <w:t>A document repair rule should be tested before deployment [1].</w:t>
      </w:r>
    </w:p>
    <w:p>
      <w:pPr>
        <w:spacing w:after="40"/>
      </w:pPr>
      <w:r>
        <w:rPr>
          <w:rFonts w:ascii="Arial" w:hAnsi="Arial" w:cs="Arial" w:eastAsia="Arial"/>
          <w:b/>
          <w:color w:val="17365D"/>
          <w:sz w:val="17"/>
        </w:rPr>
        <w:t xml:space="preserve">Vancouver/AMA-like numeric: </w:t>
      </w:r>
      <w:r>
        <w:rPr>
          <w:rFonts w:ascii="Arial" w:hAnsi="Arial" w:cs="Arial" w:eastAsia="Arial"/>
          <w:sz w:val="17"/>
        </w:rPr>
        <w:t>A document repair rule should be tested before deployment (1).</w:t>
      </w:r>
    </w:p>
    <w:p>
      <w:pPr>
        <w:spacing w:after="40"/>
      </w:pPr>
      <w:r>
        <w:rPr>
          <w:rFonts w:ascii="Arial" w:hAnsi="Arial" w:cs="Arial" w:eastAsia="Arial"/>
          <w:b/>
          <w:color w:val="17365D"/>
          <w:sz w:val="17"/>
        </w:rPr>
        <w:t xml:space="preserve">Chicago notes/bibliography-like: </w:t>
      </w:r>
      <w:r>
        <w:rPr>
          <w:rFonts w:ascii="Arial" w:hAnsi="Arial" w:cs="Arial" w:eastAsia="Arial"/>
          <w:sz w:val="17"/>
        </w:rPr>
        <w:t>A document repair rule should be tested before deployment.¹</w:t>
      </w:r>
    </w:p>
    <w:p>
      <w:pPr>
        <w:spacing w:after="40"/>
      </w:pPr>
      <w:r>
        <w:rPr>
          <w:rFonts w:ascii="Arial" w:hAnsi="Arial" w:cs="Arial" w:eastAsia="Arial"/>
          <w:b/>
          <w:color w:val="17365D"/>
          <w:sz w:val="17"/>
        </w:rPr>
        <w:t xml:space="preserve">OSCOLA-like legal footnote: </w:t>
      </w:r>
      <w:r>
        <w:rPr>
          <w:rFonts w:ascii="Arial" w:hAnsi="Arial" w:cs="Arial" w:eastAsia="Arial"/>
          <w:sz w:val="17"/>
        </w:rPr>
        <w:t>A document repair rule should be tested before deployment.²</w:t>
      </w:r>
    </w:p>
    <w:p>
      <w:pPr>
        <w:spacing w:after="40"/>
      </w:pPr>
      <w:r>
        <w:rPr>
          <w:rFonts w:ascii="Arial" w:hAnsi="Arial" w:cs="Arial" w:eastAsia="Arial"/>
          <w:b/>
          <w:color w:val="17365D"/>
          <w:sz w:val="17"/>
        </w:rPr>
        <w:t xml:space="preserve">Bluebook-like legal citation: </w:t>
      </w:r>
      <w:r>
        <w:rPr>
          <w:rFonts w:ascii="Arial" w:hAnsi="Arial" w:cs="Arial" w:eastAsia="Arial"/>
          <w:sz w:val="17"/>
        </w:rPr>
        <w:t>Example, “Methods for Testing Document Repair,” 7 EX. J. 41, 45 (2021). [synthetic]</w:t>
      </w:r>
    </w:p>
    <w:p>
      <w:pPr>
        <w:spacing w:after="40"/>
      </w:pPr>
      <w:r>
        <w:rPr>
          <w:rFonts w:ascii="Arial" w:hAnsi="Arial" w:cs="Arial" w:eastAsia="Arial"/>
          <w:b/>
          <w:color w:val="17365D"/>
          <w:sz w:val="17"/>
        </w:rPr>
        <w:t xml:space="preserve">ISO 690-like entry: </w:t>
      </w:r>
      <w:r>
        <w:rPr>
          <w:rFonts w:ascii="Arial" w:hAnsi="Arial" w:cs="Arial" w:eastAsia="Arial"/>
          <w:sz w:val="17"/>
        </w:rPr>
        <w:t>EXAMPLE, Ada. Methods for Testing Document Repair. Example Journal. 2021, vol. 7, pp. 41–58.</w:t>
      </w:r>
    </w:p>
    <w:p>
      <w:pPr>
        <w:spacing w:after="40"/>
      </w:pPr>
      <w:r>
        <w:rPr>
          <w:rFonts w:ascii="Arial" w:hAnsi="Arial" w:cs="Arial" w:eastAsia="Arial"/>
          <w:b/>
          <w:color w:val="17365D"/>
          <w:sz w:val="17"/>
        </w:rPr>
        <w:t xml:space="preserve">GOST-like numeric reference: </w:t>
      </w:r>
      <w:r>
        <w:rPr>
          <w:rFonts w:ascii="Arial" w:hAnsi="Arial" w:cs="Arial" w:eastAsia="Arial"/>
          <w:sz w:val="17"/>
        </w:rPr>
        <w:t>The cited proposition is supported by source [1, p. 45].</w:t>
      </w:r>
    </w:p>
    <w:p>
      <w:r>
        <w:t>Important: several systems overlap in surface form. A single citation may not uniquely identify a style. The tool should report likely styles with evidence and let the user confirm document-level style, rather than claim certainty from one example.</w:t>
      </w:r>
    </w:p>
    <w:p>
      <w:r>
        <w:br w:type="page"/>
      </w:r>
    </w:p>
    <w:p>
      <w:pPr>
        <w:spacing w:after="60"/>
      </w:pPr>
      <w:r>
        <w:rPr>
          <w:rFonts w:ascii="Arial" w:hAnsi="Arial" w:cs="Arial" w:eastAsia="Arial"/>
          <w:b/>
          <w:color w:val="17365D"/>
          <w:sz w:val="30"/>
        </w:rPr>
        <w:t>TEST PAGE 11  |  Citation inconsistency and matching</w:t>
      </w:r>
    </w:p>
    <w:p>
      <w:pPr>
        <w:spacing w:after="120"/>
      </w:pPr>
      <w:r>
        <w:rPr>
          <w:rFonts w:ascii="Arial" w:hAnsi="Arial" w:cs="Arial" w:eastAsia="Arial"/>
          <w:b w:val="0"/>
          <w:i/>
          <w:color w:val="666666"/>
          <w:sz w:val="17"/>
        </w:rPr>
        <w:t>Expected: detect mixed styles, duplicate variants, missing bibliography matches and incomplete metadata.</w:t>
      </w:r>
    </w:p>
    <w:p>
      <w:pPr>
        <w:pStyle w:val="Heading1"/>
      </w:pPr>
      <w:r>
        <w:t>Body citations — intentionally mixed</w:t>
      </w:r>
    </w:p>
    <w:p>
      <w:r>
        <w:t>The same fictional claim is attributed to Example (2021).</w:t>
      </w:r>
    </w:p>
    <w:p>
      <w:r>
        <w:t>The same claim is attributed to (Example, 2021, p. 45).</w:t>
      </w:r>
    </w:p>
    <w:p>
      <w:r>
        <w:t>A numeric system gives the same source as [1].</w:t>
      </w:r>
    </w:p>
    <w:p>
      <w:r>
        <w:t>Another paragraph refers to (1) without defining which reference list is active.</w:t>
      </w:r>
    </w:p>
    <w:p>
      <w:r>
        <w:t>The footnote-style variant points to note 6⁶, but note 6 is not listed below.</w:t>
      </w:r>
    </w:p>
    <w:p>
      <w:r>
        <w:t>One malformed item reads (Example 2021 p 45; see also Example, 2021).</w:t>
      </w:r>
    </w:p>
    <w:p>
      <w:r>
        <w:t>Another uses only a surname and no page or year: (Example).</w:t>
      </w:r>
    </w:p>
    <w:p>
      <w:pPr>
        <w:pStyle w:val="Heading2"/>
      </w:pPr>
      <w:r>
        <w:t>Reference list — inconsistent by design</w:t>
      </w:r>
    </w:p>
    <w:p>
      <w:pPr>
        <w:ind w:left="0" w:firstLine="0"/>
      </w:pPr>
      <w:r>
        <w:t>Example, A. (2021). Methods for Testing Document Repair. Example Journal, 7, 41–58.</w:t>
      </w:r>
    </w:p>
    <w:p>
      <w:pPr>
        <w:ind w:left="504" w:hanging="360"/>
      </w:pPr>
      <w:r>
        <w:rPr>
          <w:rFonts w:ascii="Times New Roman" w:hAnsi="Times New Roman" w:cs="Times New Roman" w:eastAsia="Times New Roman"/>
          <w:b w:val="0"/>
          <w:color w:val="C00000"/>
          <w:sz w:val="18"/>
        </w:rPr>
        <w:t>EXAMPLE, Ada. “Methods for Testing Document Repair.” EX. J. 7 (2021): 41–58.</w:t>
      </w:r>
    </w:p>
    <w:p>
      <w:pPr>
        <w:ind w:left="0" w:firstLine="0"/>
      </w:pPr>
      <w:r>
        <w:t>Example A (2021) Methods for testing document repair, Example Journal Vol 7 pp. 41-58</w:t>
      </w:r>
    </w:p>
    <w:p>
      <w:pPr>
        <w:ind w:left="504" w:hanging="360"/>
      </w:pPr>
      <w:r>
        <w:rPr>
          <w:rFonts w:ascii="Times New Roman" w:hAnsi="Times New Roman" w:cs="Times New Roman" w:eastAsia="Times New Roman"/>
          <w:b w:val="0"/>
          <w:color w:val="C00000"/>
          <w:sz w:val="18"/>
        </w:rPr>
        <w:t>[1] A. Example, “Methods for Testing Document Repair,” Example Journal, vol. 7, pp. 41–58, 2021.</w:t>
      </w:r>
    </w:p>
    <w:p>
      <w:pPr>
        <w:ind w:left="0" w:firstLine="0"/>
      </w:pPr>
      <w:r>
        <w:t>Placeholder, B. (2019). Missing Source Metadata. Journal Unknown.</w:t>
      </w:r>
    </w:p>
    <w:p>
      <w:pPr>
        <w:ind w:left="504" w:hanging="360"/>
      </w:pPr>
      <w:r>
        <w:t>A citation entry appears here with no year, no title and no publisher.</w:t>
      </w:r>
    </w:p>
    <w:p>
      <w:pPr>
        <w:ind w:left="0" w:firstLine="0"/>
      </w:pPr>
      <w:r>
        <w:t>Example Press. (2023). Synthetic Documents and Reliable Processing. [Potentially matches a footnote elsewhere.]</w:t>
      </w:r>
    </w:p>
    <w:p>
      <w:r>
        <w:t>Expected report: probable style families, evidence for each classification, consistency score or issue list, possible duplicate records, unmatched in-text citations, unmatched reference entries, and a request for user confirmation before bulk conversion.</w:t>
      </w:r>
    </w:p>
    <w:p>
      <w:r>
        <w:br w:type="page"/>
      </w:r>
    </w:p>
    <w:p>
      <w:pPr>
        <w:spacing w:after="60"/>
      </w:pPr>
      <w:r>
        <w:rPr>
          <w:rFonts w:ascii="Arial" w:hAnsi="Arial" w:cs="Arial" w:eastAsia="Arial"/>
          <w:b/>
          <w:color w:val="17365D"/>
          <w:sz w:val="30"/>
        </w:rPr>
        <w:t>TEST PAGE 12  |  Tables, images and layout stress</w:t>
      </w:r>
    </w:p>
    <w:p>
      <w:pPr>
        <w:spacing w:after="120"/>
      </w:pPr>
      <w:r>
        <w:rPr>
          <w:rFonts w:ascii="Arial" w:hAnsi="Arial" w:cs="Arial" w:eastAsia="Arial"/>
          <w:b w:val="0"/>
          <w:i/>
          <w:color w:val="666666"/>
          <w:sz w:val="17"/>
        </w:rPr>
        <w:t>Expected: inspect table consistency and preserve content while offering explicitly selected repairs.</w:t>
      </w:r>
    </w:p>
    <w:p>
      <w:pPr>
        <w:pStyle w:val="Heading1"/>
      </w:pPr>
      <w:r>
        <w:t>MIXED-FORMAT TABLE</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2459"/>
            <w:vAlign w:val="center"/>
            <w:shd w:fill="17365D"/>
          </w:tcPr>
          <w:p>
            <w:pPr>
              <w:spacing w:after="0"/>
            </w:pPr>
            <w:r/>
            <w:r>
              <w:rPr>
                <w:rFonts w:ascii="Arial" w:hAnsi="Arial" w:cs="Arial" w:eastAsia="Arial"/>
                <w:b/>
                <w:color w:val="FFFFFF"/>
                <w:sz w:val="17"/>
              </w:rPr>
              <w:t>ID</w:t>
            </w:r>
          </w:p>
        </w:tc>
        <w:tc>
          <w:tcPr>
            <w:tcW w:type="dxa" w:w="2459"/>
            <w:vAlign w:val="center"/>
            <w:shd w:fill="17365D"/>
          </w:tcPr>
          <w:p>
            <w:pPr>
              <w:spacing w:after="0"/>
            </w:pPr>
            <w:r/>
            <w:r>
              <w:rPr>
                <w:rFonts w:ascii="Arial" w:hAnsi="Arial" w:cs="Arial" w:eastAsia="Arial"/>
                <w:b/>
                <w:color w:val="FFFFFF"/>
                <w:sz w:val="17"/>
              </w:rPr>
              <w:t>Description</w:t>
            </w:r>
          </w:p>
        </w:tc>
        <w:tc>
          <w:tcPr>
            <w:tcW w:type="dxa" w:w="2459"/>
            <w:vAlign w:val="center"/>
            <w:shd w:fill="17365D"/>
          </w:tcPr>
          <w:p>
            <w:pPr>
              <w:spacing w:after="0"/>
            </w:pPr>
            <w:r/>
            <w:r>
              <w:rPr>
                <w:rFonts w:ascii="Arial" w:hAnsi="Arial" w:cs="Arial" w:eastAsia="Arial"/>
                <w:b/>
                <w:color w:val="FFFFFF"/>
                <w:sz w:val="17"/>
              </w:rPr>
              <w:t>Count</w:t>
            </w:r>
          </w:p>
        </w:tc>
        <w:tc>
          <w:tcPr>
            <w:tcW w:type="dxa" w:w="2459"/>
            <w:vAlign w:val="center"/>
            <w:shd w:fill="17365D"/>
          </w:tcPr>
          <w:p>
            <w:pPr>
              <w:spacing w:after="0"/>
            </w:pPr>
            <w:r/>
            <w:r>
              <w:rPr>
                <w:rFonts w:ascii="Arial" w:hAnsi="Arial" w:cs="Arial" w:eastAsia="Arial"/>
                <w:b/>
                <w:color w:val="FFFFFF"/>
                <w:sz w:val="17"/>
              </w:rPr>
              <w:t>Notes</w:t>
            </w:r>
          </w:p>
        </w:tc>
      </w:tr>
      <w:tr>
        <w:tc>
          <w:tcPr>
            <w:tcW w:type="dxa" w:w="2459"/>
            <w:vAlign w:val="center"/>
            <w:shd w:fill="F2F2F2"/>
          </w:tcPr>
          <w:p>
            <w:pPr>
              <w:spacing w:after="0"/>
            </w:pPr>
            <w:r>
              <w:rPr>
                <w:rFonts w:ascii="Courier New" w:hAnsi="Courier New" w:cs="Courier New" w:eastAsia="Courier New"/>
                <w:color w:val="C00000"/>
                <w:sz w:val="16"/>
              </w:rPr>
            </w:r>
            <w:r>
              <w:rPr>
                <w:rFonts w:ascii="Courier New" w:hAnsi="Courier New" w:cs="Courier New" w:eastAsia="Courier New"/>
                <w:b w:val="0"/>
                <w:color w:val="C00000"/>
                <w:sz w:val="16"/>
              </w:rPr>
              <w:t>A-01</w:t>
            </w:r>
          </w:p>
        </w:tc>
        <w:tc>
          <w:tcPr>
            <w:tcW w:type="dxa" w:w="2459"/>
            <w:vAlign w:val="center"/>
            <w:shd w:fill="F2F2F2"/>
          </w:tcPr>
          <w:p>
            <w:pPr>
              <w:spacing w:after="0"/>
            </w:pPr>
            <w:r>
              <w:rPr>
                <w:rFonts w:ascii="Times New Roman" w:hAnsi="Times New Roman" w:cs="Times New Roman" w:eastAsia="Times New Roman"/>
                <w:b/>
                <w:sz w:val="22"/>
              </w:rPr>
            </w:r>
            <w:r>
              <w:rPr>
                <w:rFonts w:ascii="Times New Roman" w:hAnsi="Times New Roman" w:cs="Times New Roman" w:eastAsia="Times New Roman"/>
                <w:b/>
                <w:sz w:val="22"/>
              </w:rPr>
              <w:t>Standard entry</w:t>
            </w:r>
          </w:p>
        </w:tc>
        <w:tc>
          <w:tcPr>
            <w:tcW w:type="dxa" w:w="2459"/>
            <w:vAlign w:val="center"/>
            <w:shd w:fill="F2F2F2"/>
          </w:tcPr>
          <w:p>
            <w:pPr>
              <w:spacing w:after="0"/>
            </w:pPr>
            <w:r/>
            <w:r>
              <w:rPr>
                <w:rFonts w:ascii="Arial" w:hAnsi="Arial" w:cs="Arial" w:eastAsia="Arial"/>
                <w:b w:val="0"/>
                <w:sz w:val="17"/>
              </w:rPr>
              <w:t>4</w:t>
            </w:r>
          </w:p>
        </w:tc>
        <w:tc>
          <w:tcPr>
            <w:tcW w:type="dxa" w:w="2459"/>
            <w:vAlign w:val="center"/>
            <w:shd w:fill="F2F2F2"/>
          </w:tcPr>
          <w:p>
            <w:pPr>
              <w:spacing w:after="0"/>
            </w:pPr>
            <w:r>
              <w:rPr>
                <w:rFonts w:ascii="Courier New" w:hAnsi="Courier New" w:cs="Courier New" w:eastAsia="Courier New"/>
                <w:color w:val="C00000"/>
                <w:sz w:val="16"/>
              </w:rPr>
            </w:r>
            <w:r>
              <w:rPr>
                <w:rFonts w:ascii="Courier New" w:hAnsi="Courier New" w:cs="Courier New" w:eastAsia="Courier New"/>
                <w:b w:val="0"/>
                <w:color w:val="C00000"/>
                <w:sz w:val="16"/>
              </w:rPr>
              <w:t>normal</w:t>
            </w:r>
          </w:p>
        </w:tc>
      </w:tr>
      <w:tr>
        <w:tc>
          <w:tcPr>
            <w:tcW w:type="dxa" w:w="2459"/>
            <w:vAlign w:val="center"/>
          </w:tcPr>
          <w:p>
            <w:pPr>
              <w:spacing w:after="0"/>
            </w:pPr>
            <w:r>
              <w:rPr>
                <w:rFonts w:ascii="Times New Roman" w:hAnsi="Times New Roman" w:cs="Times New Roman" w:eastAsia="Times New Roman"/>
                <w:b/>
                <w:sz w:val="22"/>
              </w:rPr>
            </w:r>
            <w:r>
              <w:rPr>
                <w:rFonts w:ascii="Times New Roman" w:hAnsi="Times New Roman" w:cs="Times New Roman" w:eastAsia="Times New Roman"/>
                <w:b/>
                <w:sz w:val="22"/>
              </w:rPr>
              <w:t>A-02</w:t>
            </w:r>
          </w:p>
        </w:tc>
        <w:tc>
          <w:tcPr>
            <w:tcW w:type="dxa" w:w="2459"/>
            <w:vAlign w:val="center"/>
          </w:tcPr>
          <w:p>
            <w:pPr>
              <w:spacing w:after="0"/>
            </w:pPr>
            <w:r/>
            <w:r>
              <w:rPr>
                <w:rFonts w:ascii="Arial" w:hAnsi="Arial" w:cs="Arial" w:eastAsia="Arial"/>
                <w:b w:val="0"/>
                <w:sz w:val="17"/>
              </w:rPr>
              <w:t>Text with  EXTRA   spaces</w:t>
            </w:r>
          </w:p>
        </w:tc>
        <w:tc>
          <w:tcPr>
            <w:tcW w:type="dxa" w:w="2459"/>
            <w:vAlign w:val="center"/>
          </w:tcPr>
          <w:p>
            <w:pPr>
              <w:spacing w:after="0"/>
            </w:pPr>
            <w:r>
              <w:rPr>
                <w:rFonts w:ascii="Courier New" w:hAnsi="Courier New" w:cs="Courier New" w:eastAsia="Courier New"/>
                <w:color w:val="C00000"/>
                <w:sz w:val="16"/>
              </w:rPr>
            </w:r>
            <w:r>
              <w:rPr>
                <w:rFonts w:ascii="Courier New" w:hAnsi="Courier New" w:cs="Courier New" w:eastAsia="Courier New"/>
                <w:b w:val="0"/>
                <w:color w:val="C00000"/>
                <w:sz w:val="16"/>
              </w:rPr>
              <w:t>11</w:t>
            </w:r>
          </w:p>
        </w:tc>
        <w:tc>
          <w:tcPr>
            <w:tcW w:type="dxa" w:w="2459"/>
            <w:vAlign w:val="center"/>
          </w:tcPr>
          <w:p>
            <w:pPr>
              <w:spacing w:after="0"/>
            </w:pPr>
            <w:r>
              <w:rPr>
                <w:rFonts w:ascii="Times New Roman" w:hAnsi="Times New Roman" w:cs="Times New Roman" w:eastAsia="Times New Roman"/>
                <w:b/>
                <w:sz w:val="22"/>
              </w:rPr>
            </w:r>
            <w:r>
              <w:rPr>
                <w:rFonts w:ascii="Times New Roman" w:hAnsi="Times New Roman" w:cs="Times New Roman" w:eastAsia="Times New Roman"/>
                <w:b/>
                <w:sz w:val="22"/>
              </w:rPr>
              <w:t>inconsistent font</w:t>
            </w:r>
          </w:p>
        </w:tc>
      </w:tr>
      <w:tr>
        <w:tc>
          <w:tcPr>
            <w:tcW w:type="dxa" w:w="2459"/>
            <w:vAlign w:val="center"/>
            <w:shd w:fill="F2F2F2"/>
          </w:tcPr>
          <w:p>
            <w:pPr>
              <w:spacing w:after="0"/>
            </w:pPr>
            <w:r/>
            <w:r>
              <w:rPr>
                <w:rFonts w:ascii="Arial" w:hAnsi="Arial" w:cs="Arial" w:eastAsia="Arial"/>
                <w:b w:val="0"/>
                <w:sz w:val="17"/>
              </w:rPr>
              <w:t>A-03</w:t>
            </w:r>
          </w:p>
        </w:tc>
        <w:tc>
          <w:tcPr>
            <w:tcW w:type="dxa" w:w="2459"/>
            <w:vAlign w:val="center"/>
            <w:shd w:fill="F2F2F2"/>
          </w:tcPr>
          <w:p>
            <w:pPr>
              <w:spacing w:after="0"/>
            </w:pPr>
            <w:r>
              <w:rPr>
                <w:rFonts w:ascii="Courier New" w:hAnsi="Courier New" w:cs="Courier New" w:eastAsia="Courier New"/>
                <w:color w:val="C00000"/>
                <w:sz w:val="16"/>
              </w:rPr>
            </w:r>
            <w:r>
              <w:rPr>
                <w:rFonts w:ascii="Courier New" w:hAnsi="Courier New" w:cs="Courier New" w:eastAsia="Courier New"/>
                <w:b w:val="0"/>
                <w:color w:val="C00000"/>
                <w:sz w:val="16"/>
              </w:rPr>
            </w:r>
          </w:p>
        </w:tc>
        <w:tc>
          <w:tcPr>
            <w:tcW w:type="dxa" w:w="2459"/>
            <w:vAlign w:val="center"/>
            <w:shd w:fill="F2F2F2"/>
          </w:tcPr>
          <w:p>
            <w:pPr>
              <w:spacing w:after="0"/>
            </w:pPr>
            <w:r>
              <w:rPr>
                <w:rFonts w:ascii="Times New Roman" w:hAnsi="Times New Roman" w:cs="Times New Roman" w:eastAsia="Times New Roman"/>
                <w:b/>
                <w:sz w:val="22"/>
              </w:rPr>
            </w:r>
            <w:r>
              <w:rPr>
                <w:rFonts w:ascii="Times New Roman" w:hAnsi="Times New Roman" w:cs="Times New Roman" w:eastAsia="Times New Roman"/>
                <w:b/>
                <w:sz w:val="22"/>
              </w:rPr>
              <w:t>0</w:t>
            </w:r>
          </w:p>
        </w:tc>
        <w:tc>
          <w:tcPr>
            <w:tcW w:type="dxa" w:w="2459"/>
            <w:vAlign w:val="center"/>
            <w:shd w:fill="F2F2F2"/>
          </w:tcPr>
          <w:p>
            <w:pPr>
              <w:spacing w:after="0"/>
            </w:pPr>
            <w:r/>
            <w:r>
              <w:rPr>
                <w:rFonts w:ascii="Arial" w:hAnsi="Arial" w:cs="Arial" w:eastAsia="Arial"/>
                <w:b w:val="0"/>
                <w:sz w:val="17"/>
              </w:rPr>
              <w:t>blank description</w:t>
            </w:r>
          </w:p>
        </w:tc>
      </w:tr>
      <w:tr>
        <w:tc>
          <w:tcPr>
            <w:tcW w:type="dxa" w:w="2459"/>
            <w:vAlign w:val="center"/>
          </w:tcPr>
          <w:p>
            <w:pPr>
              <w:spacing w:after="0"/>
            </w:pPr>
            <w:r>
              <w:rPr>
                <w:rFonts w:ascii="Courier New" w:hAnsi="Courier New" w:cs="Courier New" w:eastAsia="Courier New"/>
                <w:color w:val="C00000"/>
                <w:sz w:val="16"/>
              </w:rPr>
            </w:r>
            <w:r>
              <w:rPr>
                <w:rFonts w:ascii="Courier New" w:hAnsi="Courier New" w:cs="Courier New" w:eastAsia="Courier New"/>
                <w:b w:val="0"/>
                <w:color w:val="C00000"/>
                <w:sz w:val="16"/>
              </w:rPr>
              <w:t>A-04</w:t>
            </w:r>
          </w:p>
        </w:tc>
        <w:tc>
          <w:tcPr>
            <w:tcW w:type="dxa" w:w="2459"/>
            <w:vAlign w:val="center"/>
          </w:tcPr>
          <w:p>
            <w:pPr>
              <w:spacing w:after="0"/>
            </w:pPr>
            <w:r>
              <w:rPr>
                <w:rFonts w:ascii="Times New Roman" w:hAnsi="Times New Roman" w:cs="Times New Roman" w:eastAsia="Times New Roman"/>
                <w:b/>
                <w:sz w:val="22"/>
              </w:rPr>
            </w:r>
            <w:r>
              <w:rPr>
                <w:rFonts w:ascii="Times New Roman" w:hAnsi="Times New Roman" w:cs="Times New Roman" w:eastAsia="Times New Roman"/>
                <w:b/>
                <w:sz w:val="22"/>
              </w:rPr>
              <w:t>Description unusually long: this text is intended to wrap across several lines and test cell spacing behavior in Word.</w:t>
            </w:r>
          </w:p>
        </w:tc>
        <w:tc>
          <w:tcPr>
            <w:tcW w:type="dxa" w:w="2459"/>
            <w:vAlign w:val="center"/>
          </w:tcPr>
          <w:p>
            <w:pPr>
              <w:spacing w:after="0"/>
            </w:pPr>
            <w:r/>
            <w:r>
              <w:rPr>
                <w:rFonts w:ascii="Arial" w:hAnsi="Arial" w:cs="Arial" w:eastAsia="Arial"/>
                <w:b w:val="0"/>
                <w:sz w:val="17"/>
              </w:rPr>
              <w:t>200</w:t>
            </w:r>
          </w:p>
        </w:tc>
        <w:tc>
          <w:tcPr>
            <w:tcW w:type="dxa" w:w="2459"/>
            <w:vAlign w:val="center"/>
          </w:tcPr>
          <w:p>
            <w:pPr>
              <w:spacing w:after="0"/>
            </w:pPr>
            <w:r>
              <w:rPr>
                <w:rFonts w:ascii="Courier New" w:hAnsi="Courier New" w:cs="Courier New" w:eastAsia="Courier New"/>
                <w:color w:val="C00000"/>
                <w:sz w:val="16"/>
              </w:rPr>
            </w:r>
            <w:r>
              <w:rPr>
                <w:rFonts w:ascii="Courier New" w:hAnsi="Courier New" w:cs="Courier New" w:eastAsia="Courier New"/>
                <w:b w:val="0"/>
                <w:color w:val="C00000"/>
                <w:sz w:val="16"/>
              </w:rPr>
              <w:t>very long</w:t>
            </w:r>
          </w:p>
        </w:tc>
      </w:tr>
      <w:tr>
        <w:tc>
          <w:tcPr>
            <w:tcW w:type="dxa" w:w="2459"/>
            <w:vAlign w:val="center"/>
            <w:shd w:fill="F2F2F2"/>
          </w:tcPr>
          <w:p>
            <w:pPr>
              <w:spacing w:after="0"/>
            </w:pPr>
            <w:r>
              <w:rPr>
                <w:rFonts w:ascii="Times New Roman" w:hAnsi="Times New Roman" w:cs="Times New Roman" w:eastAsia="Times New Roman"/>
                <w:b/>
                <w:sz w:val="22"/>
              </w:rPr>
            </w:r>
            <w:r>
              <w:rPr>
                <w:rFonts w:ascii="Times New Roman" w:hAnsi="Times New Roman" w:cs="Times New Roman" w:eastAsia="Times New Roman"/>
                <w:b/>
                <w:sz w:val="22"/>
              </w:rPr>
              <w:t>A-05</w:t>
            </w:r>
          </w:p>
        </w:tc>
        <w:tc>
          <w:tcPr>
            <w:tcW w:type="dxa" w:w="2459"/>
            <w:vAlign w:val="center"/>
            <w:shd w:fill="F2F2F2"/>
          </w:tcPr>
          <w:p>
            <w:pPr>
              <w:spacing w:after="0"/>
            </w:pPr>
            <w:r/>
            <w:r>
              <w:rPr>
                <w:rFonts w:ascii="Arial" w:hAnsi="Arial" w:cs="Arial" w:eastAsia="Arial"/>
                <w:b w:val="0"/>
                <w:sz w:val="17"/>
              </w:rPr>
              <w:t>Duplicate record</w:t>
            </w:r>
          </w:p>
        </w:tc>
        <w:tc>
          <w:tcPr>
            <w:tcW w:type="dxa" w:w="2459"/>
            <w:vAlign w:val="center"/>
            <w:shd w:fill="F2F2F2"/>
          </w:tcPr>
          <w:p>
            <w:pPr>
              <w:spacing w:after="0"/>
            </w:pPr>
            <w:r>
              <w:rPr>
                <w:rFonts w:ascii="Courier New" w:hAnsi="Courier New" w:cs="Courier New" w:eastAsia="Courier New"/>
                <w:color w:val="C00000"/>
                <w:sz w:val="16"/>
              </w:rPr>
            </w:r>
            <w:r>
              <w:rPr>
                <w:rFonts w:ascii="Courier New" w:hAnsi="Courier New" w:cs="Courier New" w:eastAsia="Courier New"/>
                <w:b w:val="0"/>
                <w:color w:val="C00000"/>
                <w:sz w:val="16"/>
              </w:rPr>
              <w:t>11</w:t>
            </w:r>
          </w:p>
        </w:tc>
        <w:tc>
          <w:tcPr>
            <w:tcW w:type="dxa" w:w="2459"/>
            <w:vAlign w:val="center"/>
            <w:shd w:fill="F2F2F2"/>
          </w:tcPr>
          <w:p>
            <w:pPr>
              <w:spacing w:after="0"/>
            </w:pPr>
            <w:r>
              <w:rPr>
                <w:rFonts w:ascii="Times New Roman" w:hAnsi="Times New Roman" w:cs="Times New Roman" w:eastAsia="Times New Roman"/>
                <w:b/>
                <w:sz w:val="22"/>
              </w:rPr>
            </w:r>
            <w:r>
              <w:rPr>
                <w:rFonts w:ascii="Times New Roman" w:hAnsi="Times New Roman" w:cs="Times New Roman" w:eastAsia="Times New Roman"/>
                <w:b/>
                <w:sz w:val="22"/>
              </w:rPr>
              <w:t>same count as A-02</w:t>
            </w:r>
          </w:p>
        </w:tc>
      </w:tr>
      <w:tr>
        <w:tc>
          <w:tcPr>
            <w:tcW w:type="dxa" w:w="2459"/>
            <w:vAlign w:val="center"/>
          </w:tcPr>
          <w:p>
            <w:pPr>
              <w:spacing w:after="0"/>
            </w:pPr>
            <w:r/>
            <w:r>
              <w:rPr>
                <w:rFonts w:ascii="Arial" w:hAnsi="Arial" w:cs="Arial" w:eastAsia="Arial"/>
                <w:b w:val="0"/>
                <w:sz w:val="17"/>
              </w:rPr>
              <w:t>A-06</w:t>
            </w:r>
          </w:p>
        </w:tc>
        <w:tc>
          <w:tcPr>
            <w:tcW w:type="dxa" w:w="2459"/>
            <w:vAlign w:val="center"/>
          </w:tcPr>
          <w:p>
            <w:pPr>
              <w:spacing w:after="0"/>
            </w:pPr>
            <w:r>
              <w:rPr>
                <w:rFonts w:ascii="Courier New" w:hAnsi="Courier New" w:cs="Courier New" w:eastAsia="Courier New"/>
                <w:color w:val="C00000"/>
                <w:sz w:val="16"/>
              </w:rPr>
            </w:r>
            <w:r>
              <w:rPr>
                <w:rFonts w:ascii="Courier New" w:hAnsi="Courier New" w:cs="Courier New" w:eastAsia="Courier New"/>
                <w:b w:val="0"/>
                <w:color w:val="C00000"/>
                <w:sz w:val="16"/>
              </w:rPr>
              <w:t>Empty row candidate</w:t>
            </w:r>
          </w:p>
        </w:tc>
        <w:tc>
          <w:tcPr>
            <w:tcW w:type="dxa" w:w="2459"/>
            <w:vAlign w:val="center"/>
          </w:tcPr>
          <w:p>
            <w:pPr>
              <w:spacing w:after="0"/>
            </w:pPr>
            <w:r>
              <w:rPr>
                <w:rFonts w:ascii="Times New Roman" w:hAnsi="Times New Roman" w:cs="Times New Roman" w:eastAsia="Times New Roman"/>
                <w:b/>
                <w:sz w:val="22"/>
              </w:rPr>
            </w:r>
            <w:r>
              <w:rPr>
                <w:rFonts w:ascii="Times New Roman" w:hAnsi="Times New Roman" w:cs="Times New Roman" w:eastAsia="Times New Roman"/>
                <w:b/>
                <w:sz w:val="22"/>
              </w:rPr>
            </w:r>
          </w:p>
        </w:tc>
        <w:tc>
          <w:tcPr>
            <w:tcW w:type="dxa" w:w="2459"/>
            <w:vAlign w:val="center"/>
          </w:tcPr>
          <w:p>
            <w:pPr>
              <w:spacing w:after="0"/>
            </w:pPr>
            <w:r/>
            <w:r>
              <w:rPr>
                <w:rFonts w:ascii="Arial" w:hAnsi="Arial" w:cs="Arial" w:eastAsia="Arial"/>
                <w:b w:val="0"/>
                <w:sz w:val="17"/>
              </w:rPr>
            </w:r>
          </w:p>
        </w:tc>
      </w:tr>
      <w:tr>
        <w:tc>
          <w:tcPr>
            <w:tcW w:type="dxa" w:w="2459"/>
            <w:vAlign w:val="center"/>
          </w:tcPr>
          <w:p>
            <w:pPr>
              <w:spacing w:after="0"/>
            </w:pPr>
            <w:r/>
            <w:r>
              <w:rPr>
                <w:rFonts w:ascii="Arial" w:hAnsi="Arial" w:cs="Arial" w:eastAsia="Arial"/>
                <w:b w:val="0"/>
                <w:sz w:val="16"/>
              </w:rPr>
            </w:r>
          </w:p>
        </w:tc>
        <w:tc>
          <w:tcPr>
            <w:tcW w:type="dxa" w:w="2459"/>
            <w:vAlign w:val="center"/>
          </w:tcPr>
          <w:p>
            <w:pPr>
              <w:spacing w:after="0"/>
            </w:pPr>
            <w:r/>
            <w:r>
              <w:rPr>
                <w:rFonts w:ascii="Arial" w:hAnsi="Arial" w:cs="Arial" w:eastAsia="Arial"/>
                <w:b w:val="0"/>
                <w:sz w:val="16"/>
              </w:rPr>
            </w:r>
          </w:p>
        </w:tc>
        <w:tc>
          <w:tcPr>
            <w:tcW w:type="dxa" w:w="2459"/>
            <w:vAlign w:val="center"/>
          </w:tcPr>
          <w:p>
            <w:pPr>
              <w:spacing w:after="0"/>
            </w:pPr>
            <w:r/>
            <w:r>
              <w:rPr>
                <w:rFonts w:ascii="Arial" w:hAnsi="Arial" w:cs="Arial" w:eastAsia="Arial"/>
                <w:b w:val="0"/>
                <w:sz w:val="16"/>
              </w:rPr>
            </w:r>
          </w:p>
        </w:tc>
        <w:tc>
          <w:tcPr>
            <w:tcW w:type="dxa" w:w="2459"/>
            <w:vAlign w:val="center"/>
          </w:tcPr>
          <w:p>
            <w:pPr>
              <w:spacing w:after="0"/>
            </w:pPr>
            <w:r/>
            <w:r>
              <w:rPr>
                <w:rFonts w:ascii="Arial" w:hAnsi="Arial" w:cs="Arial" w:eastAsia="Arial"/>
                <w:b w:val="0"/>
                <w:sz w:val="16"/>
              </w:rPr>
            </w:r>
          </w:p>
        </w:tc>
      </w:tr>
    </w:tbl>
    <w:p>
      <w:r>
        <w:t>Table notes: (a) the description column should be wider; (b) the count column is numeric but alignment is inconsistent; (c) blank rows are intentional test candidates; (d) duplicate-looking records must be flagged, not deleted automatically.</w:t>
      </w:r>
    </w:p>
    <w:p>
      <w:pPr>
        <w:pStyle w:val="Heading2"/>
      </w:pPr>
      <w:r>
        <w:t>IMAGE SIZE AND ALIGNMENT</w:t>
      </w:r>
    </w:p>
    <w:p>
      <w:pPr>
        <w:jc w:val="left"/>
      </w:pPr>
      <w:r>
        <w:drawing>
          <wp:inline xmlns:a="http://schemas.openxmlformats.org/drawingml/2006/main" xmlns:pic="http://schemas.openxmlformats.org/drawingml/2006/picture">
            <wp:extent cx="4480560" cy="1493520"/>
            <wp:docPr id="1" name="Picture 1"/>
            <wp:cNvGraphicFramePr>
              <a:graphicFrameLocks noChangeAspect="1"/>
            </wp:cNvGraphicFramePr>
            <a:graphic>
              <a:graphicData uri="http://schemas.openxmlformats.org/drawingml/2006/picture">
                <pic:pic>
                  <pic:nvPicPr>
                    <pic:cNvPr id="0" name="fixture_layout_image.png"/>
                    <pic:cNvPicPr/>
                  </pic:nvPicPr>
                  <pic:blipFill>
                    <a:blip r:embed="rId11"/>
                    <a:stretch>
                      <a:fillRect/>
                    </a:stretch>
                  </pic:blipFill>
                  <pic:spPr>
                    <a:xfrm>
                      <a:off x="0" y="0"/>
                      <a:ext cx="4480560" cy="1493520"/>
                    </a:xfrm>
                    <a:prstGeom prst="rect"/>
                  </pic:spPr>
                </pic:pic>
              </a:graphicData>
            </a:graphic>
          </wp:inline>
        </w:drawing>
      </w:r>
    </w:p>
    <w:p>
      <w:pPr>
        <w:spacing w:before="280"/>
        <w:jc w:val="right"/>
      </w:pPr>
      <w:r>
        <w:drawing>
          <wp:inline xmlns:a="http://schemas.openxmlformats.org/drawingml/2006/main" xmlns:pic="http://schemas.openxmlformats.org/drawingml/2006/picture">
            <wp:extent cx="2057400" cy="685800"/>
            <wp:docPr id="2" name="Picture 2"/>
            <wp:cNvGraphicFramePr>
              <a:graphicFrameLocks noChangeAspect="1"/>
            </wp:cNvGraphicFramePr>
            <a:graphic>
              <a:graphicData uri="http://schemas.openxmlformats.org/drawingml/2006/picture">
                <pic:pic>
                  <pic:nvPicPr>
                    <pic:cNvPr id="0" name="fixture_layout_image.png"/>
                    <pic:cNvPicPr/>
                  </pic:nvPicPr>
                  <pic:blipFill>
                    <a:blip r:embed="rId11"/>
                    <a:stretch>
                      <a:fillRect/>
                    </a:stretch>
                  </pic:blipFill>
                  <pic:spPr>
                    <a:xfrm>
                      <a:off x="0" y="0"/>
                      <a:ext cx="2057400" cy="685800"/>
                    </a:xfrm>
                    <a:prstGeom prst="rect"/>
                  </pic:spPr>
                </pic:pic>
              </a:graphicData>
            </a:graphic>
          </wp:inline>
        </w:drawing>
      </w:r>
    </w:p>
    <w:p>
      <w:r>
        <w:t>The same image is inserted twice at inconsistent sizes and alignment. Test inspection and proposed normalisation; do not assume that equalising all images is always correct.</w:t>
      </w:r>
    </w:p>
    <w:p>
      <w:r>
        <w:br w:type="page"/>
      </w:r>
    </w:p>
    <w:p>
      <w:pPr>
        <w:spacing w:after="60"/>
      </w:pPr>
      <w:r>
        <w:rPr>
          <w:rFonts w:ascii="Arial" w:hAnsi="Arial" w:cs="Arial" w:eastAsia="Arial"/>
          <w:b/>
          <w:color w:val="17365D"/>
          <w:sz w:val="30"/>
        </w:rPr>
        <w:t>TEST PAGE 13  |  Find/replace, reusable content, hyperlinks and bookmarks</w:t>
      </w:r>
    </w:p>
    <w:p>
      <w:pPr>
        <w:spacing w:after="120"/>
      </w:pPr>
      <w:r>
        <w:rPr>
          <w:rFonts w:ascii="Arial" w:hAnsi="Arial" w:cs="Arial" w:eastAsia="Arial"/>
          <w:b w:val="0"/>
          <w:i/>
          <w:color w:val="666666"/>
          <w:sz w:val="17"/>
        </w:rPr>
        <w:t>Expected: batch-ready strings and reference-like links; avoid unintended replacements.</w:t>
      </w:r>
    </w:p>
    <w:p>
      <w:pPr>
        <w:pStyle w:val="Heading1"/>
      </w:pPr>
      <w:r>
        <w:t>REPEATED TOKENS FOR SEARCH/REPLACE</w:t>
      </w:r>
    </w:p>
    <w:p>
      <w:r>
        <w:t>Client token: [[CLIENT_NAME]]. Repeat: [[CLIENT_NAME]]. Again [[CLIENT_NAME]]. A similar but distinct token is [[CLIENT_NAME_ALT]].</w:t>
      </w:r>
    </w:p>
    <w:p>
      <w:r>
        <w:t>Date token: [[DATE]]. Matter ID: [[MATTER_ID]]. Placeholder marker: TODO_REVIEW. Another marker: TODO_REVIEW_NOW. Replace only an exact user-approved token, not every similar string.</w:t>
      </w:r>
    </w:p>
    <w:p>
      <w:pPr>
        <w:pStyle w:val="Heading2"/>
      </w:pPr>
      <w:r>
        <w:t>REUSABLE CONTENT CANDIDATES</w:t>
      </w:r>
    </w:p>
    <w:p>
      <w:r>
        <w:t>Clause A: The parties acknowledge that this paragraph is synthetic boilerplate intended solely to test reusable text detection and insertion.</w:t>
      </w:r>
    </w:p>
    <w:p>
      <w:r>
        <w:t>Clause B: The parties acknowledge that this paragraph is synthetic boilerplate intended solely to test reusable text detection and insertion.</w:t>
      </w:r>
    </w:p>
    <w:p>
      <w:r>
        <w:t>Clause A appears a second time: The parties acknowledge that this paragraph is synthetic boilerplate intended solely to test reusable text detection and insertion.</w:t>
      </w:r>
    </w:p>
    <w:p>
      <w:pPr>
        <w:pStyle w:val="Heading2"/>
      </w:pPr>
      <w:r>
        <w:t>LINKS AND CROSS-REFERENCES</w:t>
      </w:r>
    </w:p>
    <w:p>
      <w:r>
        <w:t xml:space="preserve">Valid reserved example link: </w:t>
      </w:r>
      <w:hyperlink r:id="rId12">
        <w:r>
          <w:rPr>
            <w:color w:val="0563C1"/>
            <w:u w:val="single"/>
          </w:rPr>
          <w:t>https://example.invalid/fixture</w:t>
        </w:r>
      </w:hyperlink>
    </w:p>
    <w:p>
      <w:r>
        <w:t>Broken URL-like string: htp://example.invalid/missing-scheme</w:t>
      </w:r>
    </w:p>
    <w:p>
      <w:r>
        <w:t xml:space="preserve">A second valid link to a reserved domain: </w:t>
      </w:r>
      <w:hyperlink r:id="rId13">
        <w:r>
          <w:rPr>
            <w:color w:val="0563C1"/>
            <w:u w:val="single"/>
          </w:rPr>
          <w:t>example.org</w:t>
        </w:r>
      </w:hyperlink>
    </w:p>
    <w:p>
      <w:bookmarkStart w:id="21" w:name="Review_Method"/>
      <w:r>
        <w:t>BOOKMARK TARGET: Review_Method</w:t>
      </w:r>
      <w:bookmarkEnd w:id="21"/>
    </w:p>
    <w:p>
      <w:r>
        <w:t>Cross-reference text claims: “see paragraph 4.2 below” and “refer to Table 9.” These references may be stale or intentionally nonexistent. The tool should flag rather than fabricate targets.</w:t>
      </w:r>
    </w:p>
    <w:p>
      <w:r>
        <w:t>A repeated phrase: CHECK THIS PHRASE. Another instance of CHECK THIS PHRASE. A similar form: CHECK-THIS-PHRASE. Case sensitivity and punctuation matter.</w:t>
      </w:r>
    </w:p>
    <w:p>
      <w:r>
        <w:br w:type="page"/>
      </w:r>
    </w:p>
    <w:p>
      <w:pPr>
        <w:spacing w:after="60"/>
      </w:pPr>
      <w:r>
        <w:rPr>
          <w:rFonts w:ascii="Arial" w:hAnsi="Arial" w:cs="Arial" w:eastAsia="Arial"/>
          <w:b/>
          <w:color w:val="17365D"/>
          <w:sz w:val="30"/>
        </w:rPr>
        <w:t>TEST PAGE 14  |  Redaction and sensitive-data pattern detection</w:t>
      </w:r>
    </w:p>
    <w:p>
      <w:pPr>
        <w:spacing w:after="120"/>
      </w:pPr>
      <w:r>
        <w:rPr>
          <w:rFonts w:ascii="Arial" w:hAnsi="Arial" w:cs="Arial" w:eastAsia="Arial"/>
          <w:b w:val="0"/>
          <w:i/>
          <w:color w:val="666666"/>
          <w:sz w:val="17"/>
        </w:rPr>
        <w:t>Every identifier below is synthetic; never treat pattern matches as proof of actual personal data.</w:t>
      </w:r>
    </w:p>
    <w:p>
      <w:pPr>
        <w:pStyle w:val="Heading1"/>
      </w:pPr>
      <w:r>
        <w:t>SYNTHETIC RECORD</w:t>
      </w:r>
    </w:p>
    <w:p>
      <w:r>
        <w:t>Name: Ada Example (fictional). Alternate name: A. Example. Contact: test-person@example.invalid. Reserved-domain URL: https://example.invalid/profile.</w:t>
      </w:r>
    </w:p>
    <w:p>
      <w:r>
        <w:t>Placeholder phone: +234 800 000 0000. Placeholder account: 0000-1111-2222-3333. Placeholder tax identifier: 00000000-0000. All are fabricated test patterns, not valid user records.</w:t>
      </w:r>
    </w:p>
    <w:p>
      <w:r>
        <w:t>Potentially sensitive text appears here: “The confidential reference code is DEMO-SECRET-12345 and should be removed in the redacted copy.”</w:t>
      </w:r>
    </w:p>
    <w:p>
      <w:r>
        <w:t>Duplicate pattern: DEMO-SECRET-12345 appears again in this sentence so the tester can check global matching.</w:t>
      </w:r>
    </w:p>
    <w:p>
      <w:r>
        <w:t>False positives: product serial TEST-12345; clause number 12.4; year 2025; postal-like string 00000; fictional docket DEMO/2024/01. The module should permit targeted review rather than redact all digit sequences.</w:t>
      </w:r>
    </w:p>
    <w:p>
      <w:pPr>
        <w:pStyle w:val="Heading2"/>
      </w:pPr>
      <w:r>
        <w:t>REMOVAL VERSUS VISUAL COVER-UP</w:t>
      </w:r>
    </w:p>
    <w:p>
      <w:r>
        <w:t>The correct redaction test must verify that removed text is absent from the underlying document content, not merely covered with a black rectangle or white font. Preserve non-targeted text and avoid putting the original sensitive value into logs or the redaction report.</w:t>
      </w:r>
    </w:p>
    <w:p>
      <w:r>
        <w:t>Additional repeated synthetic data: Ada Example | test-person@example.invalid | DEMO-SECRET-12345. Another variation: ada.example@example.invalid. These patterns exist solely for fixture testing.</w:t>
      </w:r>
    </w:p>
    <w:p>
      <w:r>
        <w:br w:type="page"/>
      </w:r>
    </w:p>
    <w:p>
      <w:pPr>
        <w:spacing w:after="60"/>
      </w:pPr>
      <w:r>
        <w:rPr>
          <w:rFonts w:ascii="Arial" w:hAnsi="Arial" w:cs="Arial" w:eastAsia="Arial"/>
          <w:b/>
          <w:color w:val="17365D"/>
          <w:sz w:val="30"/>
        </w:rPr>
        <w:t>TEST PAGE 15  |  Integrated multi-feature regression scenario</w:t>
      </w:r>
    </w:p>
    <w:p>
      <w:pPr>
        <w:spacing w:after="120"/>
      </w:pPr>
      <w:r>
        <w:rPr>
          <w:rFonts w:ascii="Arial" w:hAnsi="Arial" w:cs="Arial" w:eastAsia="Arial"/>
          <w:b w:val="0"/>
          <w:i/>
          <w:color w:val="666666"/>
          <w:sz w:val="17"/>
        </w:rPr>
        <w:t>Expected: each operation is separate, previewed and validated; this page intentionally combines conflicts.</w:t>
      </w:r>
    </w:p>
    <w:p>
      <w:pPr>
        <w:jc w:val="right"/>
      </w:pPr>
      <w:r>
        <w:rPr>
          <w:rFonts w:ascii="Courier New" w:hAnsi="Courier New" w:cs="Courier New" w:eastAsia="Courier New"/>
          <w:b w:val="0"/>
          <w:color w:val="C00000"/>
          <w:sz w:val="28"/>
        </w:rPr>
        <w:t>SECTION 7 — FINAL REVIEW</w:t>
      </w:r>
    </w:p>
    <w:p>
      <w:r>
        <w:t>The 21st reviewer should check the 2nd and 3rd paragraphs before the 11th day of review. The suffixes are intentionally baseline and should change only when the ordinal tool is run.</w:t>
      </w:r>
    </w:p>
    <w:p>
      <w:r>
        <w:t>The test assertion was reported by Example (2021, p. 45), but another paragraph cites the same work as [1] and a third uses (Example 45).⁷ These forms intentionally mix styles.</w:t>
      </w:r>
    </w:p>
    <w:p>
      <w:r>
        <w:t>1. The first typed finding contains   repeated spaces.</w:t>
      </w:r>
    </w:p>
    <w:p>
      <w:pPr>
        <w:jc w:val="center"/>
      </w:pPr>
      <w:r>
        <w:rPr>
          <w:rFonts w:ascii="Times New Roman" w:hAnsi="Times New Roman" w:cs="Times New Roman" w:eastAsia="Times New Roman"/>
          <w:b/>
          <w:color w:val="0070C0"/>
          <w:sz w:val="24"/>
        </w:rPr>
        <w:t>2. The second typed finding has a different font and alignment.</w:t>
      </w:r>
    </w:p>
    <w:p>
      <w:r>
        <w:t>2. The duplicate number is intentional.</w:t>
      </w:r>
    </w:p>
    <w:p>
      <w:r>
        <w:t>4. The gap is intentional; do not renumber without approval.</w:t>
      </w:r>
    </w:p>
    <w:p>
      <w:r>
        <w:t>A flattened citation marker 7 is followed by this potential source note.</w:t>
      </w:r>
      <w:r>
        <w:rPr>
          <w:rFonts w:ascii="Arial" w:hAnsi="Arial" w:cs="Arial" w:eastAsia="Arial"/>
          <w:b w:val="0"/>
          <w:sz w:val="15"/>
        </w:rPr>
        <w:t>7</w:t>
      </w:r>
    </w:p>
    <w:p>
      <w:r>
        <w:t>7. M. Placeholder, “Integrated Synthetic Test Citation,” 9 Journal of Fictional Audits 101 (2024).</w:t>
      </w:r>
    </w:p>
    <w:p>
      <w:r>
        <w:t>Final duplicate token: [[CLIENT_NAME]]. Final cleanup corpus: TEXT   WITH   EXTRA SPACES. Final fake sensitive marker: DEMO-SECRET-12345.</w:t>
      </w:r>
    </w:p>
    <w:p>
      <w:r>
        <w:t>EXPECTED OPERATOR SEQUENCE: 1) read-only document audit; 2) inspect formatting/style findings; 3) review numbering audit; 4) scan footnotes and citations; 5) preview ordinal superscripting; 6) apply selected operations individually; 7) compare result to the companion manifest; 8) reopen the saved DOCX in Word and verify.</w:t>
      </w:r>
    </w:p>
    <w:p>
      <w:r>
        <w:t>Do not run a one-click destructive “fix everything” action. This page is specifically designed to expose order-dependent bugs, range invalidation, false positives and operations that modify content outside their declared scope.</w:t>
      </w:r>
    </w:p>
    <w:sectPr w:rsidR="00FC693F" w:rsidRPr="0006063C" w:rsidSect="00034616">
      <w:headerReference w:type="default" r:id="rId9"/>
      <w:footerReference w:type="default" r:id="rId10"/>
      <w:pgSz w:w="11909" w:h="16834"/>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color w:val="666666"/>
        <w:sz w:val="15"/>
      </w:rPr>
      <w:t xml:space="preserve">INTENTIONALLY DEFECTIVE — TRAINING/TEST ONLY     |     Page </w:t>
    </w:r>
    <w:r>
      <w:fldChar w:fldCharType="begin"/>
      <w:instrText xml:space="preserve">PAGE</w:instrText>
      <w:fldChar w:fldCharType="end"/>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w:t>
      </w:r>
      <w:r>
        <w:t xml:space="preserve">Genuine native footnote for regression testing: this note is stored in the Word footnote part, unlike the flattened note candidates elsewhere in the fixture.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eastAsia="Arial"/>
        <w:b/>
        <w:color w:val="7F6000"/>
        <w:sz w:val="14"/>
      </w:rPr>
      <w:t>WORD TOOLKIT  |  SYNTHETIC REGRESSION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pPr>
      <w:spacing w:after="0" w:line="240" w:lineRule="auto"/>
    </w:pPr>
    <w:rPr>
      <w:sz w:val="18"/>
    </w:rPr>
  </w:style>
  <w:style w:type="character" w:styleId="FootnoteReference">
    <w:name w:val="footnote reference"/>
    <w:basedOn w:val="DefaultParagraphFont"/>
    <w:rPr>
      <w:vertAlign w:val="superscript"/>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example.invalid/fixture" TargetMode="External"/><Relationship Id="rId13" Type="http://schemas.openxmlformats.org/officeDocument/2006/relationships/hyperlink" Target="https://example.org" TargetMode="External"/><Relationship Id="rId1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Toolkit 15-Page Stress Test Fixture</dc:title>
  <dc:subject>Synthetic document with deliberate defects for Word add-in QA</dc:subject>
  <dc:creator>Word Toolkit Test Fixture Generator</dc:creator>
  <cp:keywords>test fixture; formatting; numbering; footnotes; citations; ordinal suffixes</cp:keywords>
  <dc:description>All sample content is synthetic. Deliberate errors are documented in companion manifest.</dc:description>
  <cp:lastModifiedBy/>
  <cp:revision>1</cp:revision>
  <dcterms:created xsi:type="dcterms:W3CDTF">2013-12-23T23:15:00Z</dcterms:created>
  <dcterms:modified xsi:type="dcterms:W3CDTF">2013-12-23T23:15:00Z</dcterms:modified>
  <cp:category/>
</cp:coreProperties>
</file>