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Mean-Reverting Portfolios</w:t>
      </w:r>
    </w:p>
    <w:p>
      <w:pPr>
        <w:pStyle w:val="TextBody"/>
        <w:bidi w:val="0"/>
        <w:jc w:val="left"/>
        <w:rPr/>
      </w:pPr>
      <w:r>
        <w:rPr/>
      </w:r>
    </w:p>
    <w:p>
      <w:pPr>
        <w:pStyle w:val="Heading2"/>
        <w:bidi w:val="0"/>
        <w:jc w:val="left"/>
        <w:rPr/>
      </w:pPr>
      <w:r>
        <w:rPr/>
        <w:t>Project Highlights</w:t>
      </w:r>
    </w:p>
    <w:p>
      <w:pPr>
        <w:pStyle w:val="TextBody"/>
        <w:numPr>
          <w:ilvl w:val="0"/>
          <w:numId w:val="2"/>
        </w:numPr>
        <w:bidi w:val="0"/>
        <w:jc w:val="left"/>
        <w:rPr/>
      </w:pPr>
      <w:r>
        <w:rPr/>
        <w:t>Developed fully automated mean-reverting trading strategy using Python and IBKR API</w:t>
      </w:r>
    </w:p>
    <w:p>
      <w:pPr>
        <w:pStyle w:val="TextBody"/>
        <w:numPr>
          <w:ilvl w:val="0"/>
          <w:numId w:val="2"/>
        </w:numPr>
        <w:bidi w:val="0"/>
        <w:jc w:val="left"/>
        <w:rPr/>
      </w:pPr>
      <w:r>
        <w:rPr/>
        <w:t>Implemented PCA- based stock selection, OU calibration via Savitzky-Golay smoothing</w:t>
      </w:r>
    </w:p>
    <w:p>
      <w:pPr>
        <w:pStyle w:val="TextBody"/>
        <w:numPr>
          <w:ilvl w:val="0"/>
          <w:numId w:val="2"/>
        </w:numPr>
        <w:bidi w:val="0"/>
        <w:jc w:val="left"/>
        <w:rPr/>
      </w:pPr>
      <w:r>
        <w:rPr/>
        <w:t>Optimised signal parameters using GMM and Optuna with parallel tuning</w:t>
      </w:r>
    </w:p>
    <w:p>
      <w:pPr>
        <w:pStyle w:val="TextBody"/>
        <w:bidi w:val="0"/>
        <w:jc w:val="left"/>
        <w:rPr/>
      </w:pPr>
      <w:r>
        <w:rPr/>
      </w:r>
    </w:p>
    <w:p>
      <w:pPr>
        <w:pStyle w:val="Heading2"/>
        <w:bidi w:val="0"/>
        <w:jc w:val="left"/>
        <w:rPr/>
      </w:pPr>
      <w:r>
        <w:rPr/>
        <w:t>Strategy Overview</w:t>
      </w:r>
    </w:p>
    <w:p>
      <w:pPr>
        <w:pStyle w:val="TextBody"/>
        <w:bidi w:val="0"/>
        <w:jc w:val="both"/>
        <w:rPr/>
      </w:pPr>
      <w:r>
        <w:rPr/>
        <w:t>This document outlines a trading strategy by constructing a portfolio consisting of US equities such that the historical portfolio value shows a mean-reverting pattern. The strategy is back-tested and implemented in Python, utilising Interactive Brokers (IBKR) API infrastructure to obtain real-time market data and execution.</w:t>
      </w:r>
    </w:p>
    <w:p>
      <w:pPr>
        <w:pStyle w:val="TextBody"/>
        <w:bidi w:val="0"/>
        <w:jc w:val="both"/>
        <w:rPr/>
      </w:pPr>
      <w:r>
        <w:rPr/>
        <w:t xml:space="preserve"> </w:t>
      </w:r>
    </w:p>
    <w:p>
      <w:pPr>
        <w:pStyle w:val="Heading2"/>
        <w:bidi w:val="0"/>
        <w:jc w:val="both"/>
        <w:rPr/>
      </w:pPr>
      <w:r>
        <w:rPr/>
        <w:t>Strategy Details</w:t>
      </w:r>
    </w:p>
    <w:p>
      <w:pPr>
        <w:pStyle w:val="Heading3"/>
        <w:bidi w:val="0"/>
        <w:jc w:val="both"/>
        <w:rPr/>
      </w:pPr>
      <w:r>
        <w:rPr/>
        <w:t>Stock Selection</w:t>
      </w:r>
    </w:p>
    <w:p>
      <w:pPr>
        <w:pStyle w:val="TextBody"/>
        <w:bidi w:val="0"/>
        <w:jc w:val="both"/>
        <w:rPr/>
      </w:pPr>
      <w:r>
        <w:rPr/>
        <w:t>A total of 55 US stocks are selected for this strategy. Eight stocks with the lowest variance are chosen using Principal Component Analysis (PCA) and used to construct portfolios. Selecting stocks with the lowest variance ensures a smooth portfolio value time series with minimal noise, making the mean-reverting pattern more detectable.</w:t>
      </w:r>
    </w:p>
    <w:p>
      <w:pPr>
        <w:pStyle w:val="TextBody"/>
        <w:rPr/>
      </w:pPr>
      <w:r>
        <w:rPr/>
        <w:t>A series of portfolios are then constructed, each consisting of different combinations of five stocks.</w:t>
      </w:r>
    </w:p>
    <w:p>
      <w:pPr>
        <w:pStyle w:val="TextBody"/>
        <w:bidi w:val="0"/>
        <w:jc w:val="both"/>
        <w:rPr/>
      </w:pPr>
      <w:r>
        <w:rPr/>
      </w:r>
    </w:p>
    <w:p>
      <w:pPr>
        <w:pStyle w:val="Heading3"/>
        <w:bidi w:val="0"/>
        <w:jc w:val="both"/>
        <w:rPr/>
      </w:pPr>
      <w:r>
        <w:rPr/>
        <w:t>Portfolio Calibration</w:t>
      </w:r>
    </w:p>
    <w:p>
      <w:pPr>
        <w:pStyle w:val="TextBody"/>
        <w:bidi w:val="0"/>
        <w:jc w:val="both"/>
        <w:rPr/>
      </w:pPr>
      <w:r>
        <w:rPr/>
        <w:t>Each stock in a portfolio is assigned a weight representing the number of shares to hold. In this modelling step, fractional share holdings are allowed. These are converted to integer amounts during the back-testing process, based on the investment amount and stock prices.</w:t>
      </w:r>
    </w:p>
    <w:p>
      <w:pPr>
        <w:pStyle w:val="TextBody"/>
        <w:rPr/>
      </w:pPr>
      <w:r>
        <w:rPr/>
        <w:t>The calibration process involves smoothing the historical portfolio value time series using a Savitzky-Golay filter (window size = 31, polyorder = 10). This filter smooths the time series while preserving features such as peaks, heights, widths, and positions. It is especially suited for low-noise series.</w:t>
      </w:r>
    </w:p>
    <w:p>
      <w:pPr>
        <w:pStyle w:val="TextBody"/>
        <w:rPr/>
      </w:pPr>
      <w:r>
        <w:rPr/>
        <w:t>The smoothed series is then calibrated to an Ornstein-Uhlenbeck (OU) process using the method of moments, matching empirical and theoretical moments.</w:t>
      </w:r>
    </w:p>
    <w:p>
      <w:pPr>
        <w:pStyle w:val="TextBody"/>
        <w:rPr/>
      </w:pPr>
      <w:r>
        <w:rPr>
          <w:rFonts w:ascii="Liberation Serif" w:hAnsi="Liberation Serif"/>
        </w:rPr>
        <w:t xml:space="preserve">Calibration aims to maximise the OU speed of reversion (theta) and minimise volatility. In Python, I use </w:t>
      </w:r>
      <w:r>
        <w:rPr>
          <w:rStyle w:val="SourceText"/>
          <w:rFonts w:ascii="Liberation Serif" w:hAnsi="Liberation Serif"/>
        </w:rPr>
        <w:t>scipy.optimize.minimize</w:t>
      </w:r>
      <w:r>
        <w:rPr>
          <w:rFonts w:ascii="Liberation Serif" w:hAnsi="Liberation Serif"/>
        </w:rPr>
        <w:t xml:space="preserve"> with methods including SLSQP, trust-constr, BFGS, Nelder-Mead, and Powell. If SLSQP fails to converge, the optimiser proceeds to the next method.</w:t>
      </w:r>
    </w:p>
    <w:p>
      <w:pPr>
        <w:pStyle w:val="TextBody"/>
        <w:rPr/>
      </w:pPr>
      <w:r>
        <w:rPr/>
        <w:t>The result of the calibration is a set of weights assigned to each stock in the portfolio.</w:t>
      </w:r>
    </w:p>
    <w:p>
      <w:pPr>
        <w:pStyle w:val="TextBody"/>
        <w:bidi w:val="0"/>
        <w:jc w:val="both"/>
        <w:rPr/>
      </w:pPr>
      <w:r>
        <w:rPr/>
      </w:r>
    </w:p>
    <w:p>
      <w:pPr>
        <w:pStyle w:val="Heading3"/>
        <w:bidi w:val="0"/>
        <w:spacing w:before="0" w:after="140"/>
        <w:jc w:val="both"/>
        <w:rPr/>
      </w:pPr>
      <w:r>
        <w:rPr/>
        <w:t>Generating Signals</w:t>
      </w:r>
    </w:p>
    <w:p>
      <w:pPr>
        <w:pStyle w:val="TextBody"/>
        <w:numPr>
          <w:ilvl w:val="0"/>
          <w:numId w:val="0"/>
        </w:numPr>
        <w:ind w:left="0" w:hanging="0"/>
        <w:jc w:val="both"/>
        <w:rPr/>
      </w:pPr>
      <w:r>
        <w:rPr/>
        <w:t>Given the weights and allocated investment amount, I construct a time series of portfolio values over the last 200 historical days by:</w:t>
      </w:r>
    </w:p>
    <w:p>
      <w:pPr>
        <w:pStyle w:val="TextBody"/>
        <w:numPr>
          <w:ilvl w:val="0"/>
          <w:numId w:val="3"/>
        </w:numPr>
        <w:tabs>
          <w:tab w:val="clear" w:pos="720"/>
          <w:tab w:val="left" w:pos="0" w:leader="none"/>
        </w:tabs>
        <w:ind w:left="709" w:hanging="283"/>
        <w:rPr/>
      </w:pPr>
      <w:r>
        <w:rPr/>
        <w:t>Allocating the number of shares per stock (investment amount × weights).</w:t>
      </w:r>
    </w:p>
    <w:p>
      <w:pPr>
        <w:pStyle w:val="TextBody"/>
        <w:numPr>
          <w:ilvl w:val="0"/>
          <w:numId w:val="3"/>
        </w:numPr>
        <w:tabs>
          <w:tab w:val="clear" w:pos="720"/>
          <w:tab w:val="left" w:pos="0" w:leader="none"/>
        </w:tabs>
        <w:ind w:left="709" w:hanging="283"/>
        <w:rPr/>
      </w:pPr>
      <w:r>
        <w:rPr/>
        <w:t>Smoothing the historical time series using the Savitzky-Golay filter.</w:t>
      </w:r>
    </w:p>
    <w:p>
      <w:pPr>
        <w:pStyle w:val="TextBody"/>
        <w:rPr/>
      </w:pPr>
      <w:r>
        <w:rPr/>
        <w:t>From the smoothed series, I compute the following technical indicators:</w:t>
      </w:r>
    </w:p>
    <w:p>
      <w:pPr>
        <w:pStyle w:val="TextBody"/>
        <w:numPr>
          <w:ilvl w:val="0"/>
          <w:numId w:val="4"/>
        </w:numPr>
        <w:tabs>
          <w:tab w:val="clear" w:pos="720"/>
          <w:tab w:val="left" w:pos="0" w:leader="none"/>
        </w:tabs>
        <w:ind w:left="709" w:hanging="283"/>
        <w:rPr/>
      </w:pPr>
      <w:r>
        <w:rPr/>
        <w:t>Hurst exponent</w:t>
      </w:r>
    </w:p>
    <w:p>
      <w:pPr>
        <w:pStyle w:val="TextBody"/>
        <w:numPr>
          <w:ilvl w:val="0"/>
          <w:numId w:val="4"/>
        </w:numPr>
        <w:tabs>
          <w:tab w:val="clear" w:pos="720"/>
          <w:tab w:val="left" w:pos="0" w:leader="none"/>
        </w:tabs>
        <w:ind w:left="709" w:hanging="283"/>
        <w:rPr/>
      </w:pPr>
      <w:r>
        <w:rPr/>
        <w:t>Half-life</w:t>
      </w:r>
    </w:p>
    <w:p>
      <w:pPr>
        <w:pStyle w:val="TextBody"/>
        <w:numPr>
          <w:ilvl w:val="0"/>
          <w:numId w:val="4"/>
        </w:numPr>
        <w:tabs>
          <w:tab w:val="clear" w:pos="720"/>
          <w:tab w:val="left" w:pos="0" w:leader="none"/>
        </w:tabs>
        <w:ind w:left="709" w:hanging="283"/>
        <w:rPr/>
      </w:pPr>
      <w:r>
        <w:rPr/>
        <w:t>10-day Simple Moving Average (SMA)</w:t>
      </w:r>
    </w:p>
    <w:p>
      <w:pPr>
        <w:pStyle w:val="TextBody"/>
        <w:numPr>
          <w:ilvl w:val="0"/>
          <w:numId w:val="4"/>
        </w:numPr>
        <w:tabs>
          <w:tab w:val="clear" w:pos="720"/>
          <w:tab w:val="left" w:pos="0" w:leader="none"/>
        </w:tabs>
        <w:ind w:left="709" w:hanging="283"/>
        <w:rPr/>
      </w:pPr>
      <w:r>
        <w:rPr/>
        <w:t>OU long-term mean (mu) and standard deviation (sigma)</w:t>
      </w:r>
    </w:p>
    <w:p>
      <w:pPr>
        <w:pStyle w:val="TextBody"/>
        <w:rPr/>
      </w:pPr>
      <w:r>
        <w:rPr/>
        <w:t>These indicators inform the entry conditions:</w:t>
      </w:r>
    </w:p>
    <w:p>
      <w:pPr>
        <w:pStyle w:val="TextBody"/>
        <w:numPr>
          <w:ilvl w:val="0"/>
          <w:numId w:val="5"/>
        </w:numPr>
        <w:tabs>
          <w:tab w:val="clear" w:pos="720"/>
          <w:tab w:val="left" w:pos="0" w:leader="none"/>
        </w:tabs>
        <w:ind w:left="709" w:hanging="283"/>
        <w:rPr/>
      </w:pPr>
      <w:r>
        <w:rPr/>
        <w:t>Hurst exponent &lt; threshold</w:t>
      </w:r>
    </w:p>
    <w:p>
      <w:pPr>
        <w:pStyle w:val="TextBody"/>
        <w:numPr>
          <w:ilvl w:val="0"/>
          <w:numId w:val="5"/>
        </w:numPr>
        <w:tabs>
          <w:tab w:val="clear" w:pos="720"/>
          <w:tab w:val="left" w:pos="0" w:leader="none"/>
        </w:tabs>
        <w:ind w:left="709" w:hanging="283"/>
        <w:rPr/>
      </w:pPr>
      <w:r>
        <w:rPr/>
        <w:t>0 &lt; half-life &lt; upper bound</w:t>
      </w:r>
    </w:p>
    <w:p>
      <w:pPr>
        <w:pStyle w:val="TextBody"/>
        <w:rPr/>
      </w:pPr>
      <w:r>
        <w:rPr>
          <w:rStyle w:val="StrongEmphasis"/>
        </w:rPr>
        <w:t>To enter a long position:</w:t>
      </w:r>
    </w:p>
    <w:p>
      <w:pPr>
        <w:pStyle w:val="TextBody"/>
        <w:numPr>
          <w:ilvl w:val="0"/>
          <w:numId w:val="6"/>
        </w:numPr>
        <w:tabs>
          <w:tab w:val="clear" w:pos="720"/>
          <w:tab w:val="left" w:pos="0" w:leader="none"/>
        </w:tabs>
        <w:ind w:left="709" w:hanging="283"/>
        <w:rPr/>
      </w:pPr>
      <w:r>
        <w:rPr/>
        <w:t>Portfolio value &lt; mu AND (SMA &lt; mu − sigma × multiplier OR SMA &gt; mu + sigma × multiplier)</w:t>
      </w:r>
    </w:p>
    <w:p>
      <w:pPr>
        <w:pStyle w:val="TextBody"/>
        <w:rPr/>
      </w:pPr>
      <w:r>
        <w:rPr>
          <w:rStyle w:val="StrongEmphasis"/>
        </w:rPr>
        <w:t>To enter a short position:</w:t>
      </w:r>
    </w:p>
    <w:p>
      <w:pPr>
        <w:pStyle w:val="TextBody"/>
        <w:numPr>
          <w:ilvl w:val="0"/>
          <w:numId w:val="7"/>
        </w:numPr>
        <w:tabs>
          <w:tab w:val="clear" w:pos="720"/>
          <w:tab w:val="left" w:pos="0" w:leader="none"/>
        </w:tabs>
        <w:ind w:left="709" w:hanging="283"/>
        <w:rPr/>
      </w:pPr>
      <w:r>
        <w:rPr/>
        <w:t>Portfolio value &gt; mu AND (SMA &lt; mu − sigma × multiplier OR SMA &gt; mu + sigma × multiplier)</w:t>
      </w:r>
    </w:p>
    <w:p>
      <w:pPr>
        <w:pStyle w:val="TextBody"/>
        <w:rPr/>
      </w:pPr>
      <w:r>
        <w:rPr/>
        <w:t>Trailing stop losses are used to exit positions:</w:t>
      </w:r>
    </w:p>
    <w:p>
      <w:pPr>
        <w:pStyle w:val="TextBody"/>
        <w:numPr>
          <w:ilvl w:val="0"/>
          <w:numId w:val="8"/>
        </w:numPr>
        <w:tabs>
          <w:tab w:val="clear" w:pos="720"/>
          <w:tab w:val="left" w:pos="0" w:leader="none"/>
        </w:tabs>
        <w:ind w:left="709" w:hanging="283"/>
        <w:rPr/>
      </w:pPr>
      <w:r>
        <w:rPr/>
        <w:t>Initial stop loss at 20% of portfolio value.</w:t>
      </w:r>
    </w:p>
    <w:p>
      <w:pPr>
        <w:pStyle w:val="TextBody"/>
        <w:numPr>
          <w:ilvl w:val="0"/>
          <w:numId w:val="8"/>
        </w:numPr>
        <w:tabs>
          <w:tab w:val="clear" w:pos="720"/>
          <w:tab w:val="left" w:pos="0" w:leader="none"/>
        </w:tabs>
        <w:ind w:left="709" w:hanging="283"/>
        <w:rPr/>
      </w:pPr>
      <w:r>
        <w:rPr/>
        <w:t>After a 5% profit, stop loss is tightened to 5%.</w:t>
      </w:r>
    </w:p>
    <w:p>
      <w:pPr>
        <w:pStyle w:val="TextBody"/>
        <w:numPr>
          <w:ilvl w:val="0"/>
          <w:numId w:val="0"/>
        </w:numPr>
        <w:ind w:left="0" w:hanging="0"/>
        <w:jc w:val="both"/>
        <w:rPr/>
      </w:pPr>
      <w:r>
        <w:rPr/>
      </w:r>
    </w:p>
    <w:p>
      <w:pPr>
        <w:pStyle w:val="Heading4"/>
        <w:rPr/>
      </w:pPr>
      <w:r>
        <w:rPr/>
        <w:t xml:space="preserve"> </w:t>
      </w:r>
      <w:r>
        <w:rPr/>
        <w:t>In-Sample Back-testing</w:t>
      </w:r>
    </w:p>
    <w:p>
      <w:pPr>
        <w:pStyle w:val="TextBody"/>
        <w:widowControl/>
        <w:tabs>
          <w:tab w:val="clear" w:pos="720"/>
          <w:tab w:val="left" w:pos="850" w:leader="none"/>
        </w:tabs>
        <w:suppressAutoHyphens w:val="true"/>
        <w:bidi w:val="0"/>
        <w:spacing w:lineRule="auto" w:line="276" w:before="0" w:after="140"/>
        <w:ind w:right="0" w:hanging="0"/>
        <w:jc w:val="both"/>
        <w:rPr/>
      </w:pPr>
      <w:r>
        <w:rPr/>
        <w:t>In-sample back-testing is performed on 250 days of historical data to tune the parameters:</w:t>
      </w:r>
    </w:p>
    <w:p>
      <w:pPr>
        <w:pStyle w:val="TextBody"/>
        <w:numPr>
          <w:ilvl w:val="0"/>
          <w:numId w:val="9"/>
        </w:numPr>
        <w:tabs>
          <w:tab w:val="clear" w:pos="720"/>
          <w:tab w:val="left" w:pos="0" w:leader="none"/>
        </w:tabs>
        <w:ind w:left="709" w:hanging="283"/>
        <w:rPr/>
      </w:pPr>
      <w:r>
        <w:rPr/>
        <w:t>Hurst level: 0.97</w:t>
      </w:r>
    </w:p>
    <w:p>
      <w:pPr>
        <w:pStyle w:val="TextBody"/>
        <w:numPr>
          <w:ilvl w:val="0"/>
          <w:numId w:val="9"/>
        </w:numPr>
        <w:tabs>
          <w:tab w:val="clear" w:pos="720"/>
          <w:tab w:val="left" w:pos="0" w:leader="none"/>
        </w:tabs>
        <w:ind w:left="709" w:hanging="283"/>
        <w:rPr/>
      </w:pPr>
      <w:r>
        <w:rPr/>
        <w:t>Half-life range: 37.75 to 74.05</w:t>
      </w:r>
    </w:p>
    <w:p>
      <w:pPr>
        <w:pStyle w:val="TextBody"/>
        <w:numPr>
          <w:ilvl w:val="0"/>
          <w:numId w:val="9"/>
        </w:numPr>
        <w:tabs>
          <w:tab w:val="clear" w:pos="720"/>
          <w:tab w:val="left" w:pos="0" w:leader="none"/>
        </w:tabs>
        <w:ind w:left="709" w:hanging="283"/>
        <w:rPr/>
      </w:pPr>
      <w:r>
        <w:rPr/>
        <w:t>SMA multiplier: 1.35</w:t>
      </w:r>
    </w:p>
    <w:p>
      <w:pPr>
        <w:pStyle w:val="TextBody"/>
        <w:rPr/>
      </w:pPr>
      <w:r>
        <w:rPr/>
        <w:t>These values are determined via manual tuning and used as initial conditions for optimisation.</w:t>
      </w:r>
    </w:p>
    <w:p>
      <w:pPr>
        <w:pStyle w:val="TextBody"/>
        <w:widowControl/>
        <w:tabs>
          <w:tab w:val="clear" w:pos="720"/>
          <w:tab w:val="left" w:pos="850" w:leader="none"/>
        </w:tabs>
        <w:suppressAutoHyphens w:val="true"/>
        <w:bidi w:val="0"/>
        <w:spacing w:lineRule="auto" w:line="276" w:before="0" w:after="140"/>
        <w:ind w:right="0" w:hanging="0"/>
        <w:jc w:val="both"/>
        <w:rPr/>
      </w:pPr>
      <w:r>
        <w:rPr/>
      </w:r>
    </w:p>
    <w:p>
      <w:pPr>
        <w:pStyle w:val="TextBody"/>
        <w:bidi w:val="0"/>
        <w:spacing w:before="0" w:after="140"/>
        <w:jc w:val="center"/>
        <w:rPr/>
      </w:pPr>
      <w:r>
        <w:rPr/>
      </w:r>
    </w:p>
    <w:p>
      <w:pPr>
        <w:pStyle w:val="TextBody"/>
        <w:bidi w:val="0"/>
        <w:spacing w:before="0" w:after="140"/>
        <w:jc w:val="center"/>
        <w:rPr/>
      </w:pPr>
      <w:r>
        <w:rPr/>
        <mc:AlternateContent>
          <mc:Choice Requires="wps">
            <w:drawing>
              <wp:inline distT="0" distB="0" distL="0" distR="0">
                <wp:extent cx="5220970" cy="4295775"/>
                <wp:effectExtent l="0" t="0" r="0" b="0"/>
                <wp:docPr id="1" name="Shape1"/>
                <a:graphic xmlns:a="http://schemas.openxmlformats.org/drawingml/2006/main">
                  <a:graphicData uri="http://schemas.microsoft.com/office/word/2010/wordprocessingShape">
                    <wps:wsp>
                      <wps:cNvSpPr/>
                      <wps:spPr>
                        <a:xfrm>
                          <a:off x="0" y="0"/>
                          <a:ext cx="5221080" cy="429588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pPr>
                            <w:r>
                              <w:rPr/>
                              <w:drawing>
                                <wp:inline distT="0" distB="0" distL="0" distR="0">
                                  <wp:extent cx="5220970" cy="3968115"/>
                                  <wp:effectExtent l="0" t="0" r="0" b="0"/>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2"/>
                                          <a:stretch>
                                            <a:fillRect/>
                                          </a:stretch>
                                        </pic:blipFill>
                                        <pic:spPr bwMode="auto">
                                          <a:xfrm>
                                            <a:off x="0" y="0"/>
                                            <a:ext cx="5220970" cy="396811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non-optimised distribution</w:t>
                            </w:r>
                          </w:p>
                        </w:txbxContent>
                      </wps:txbx>
                      <wps:bodyPr lIns="0" rIns="0" tIns="0" bIns="0" anchor="t">
                        <a:noAutofit/>
                      </wps:bodyPr>
                    </wps:wsp>
                  </a:graphicData>
                </a:graphic>
              </wp:inline>
            </w:drawing>
          </mc:Choice>
          <mc:Fallback>
            <w:pict>
              <v:rect id="shape_0" ID="Shape1" path="m0,0l-2147483645,0l-2147483645,-2147483646l0,-2147483646xe" fillcolor="white" stroked="f" o:allowincell="f" style="position:absolute;margin-left:0pt;margin-top:-338.3pt;width:411.05pt;height:338.2pt;mso-wrap-style:square;v-text-anchor:top;mso-position-vertical:top">
                <v:fill o:detectmouseclick="t" type="solid" color2="black"/>
                <v:stroke color="#3465a4" joinstyle="round" endcap="flat"/>
                <v:textbox>
                  <w:txbxContent>
                    <w:p>
                      <w:pPr>
                        <w:pStyle w:val="Figure"/>
                        <w:spacing w:before="120" w:after="120"/>
                        <w:jc w:val="center"/>
                        <w:rPr/>
                      </w:pPr>
                      <w:r>
                        <w:rPr/>
                        <w:drawing>
                          <wp:inline distT="0" distB="0" distL="0" distR="0">
                            <wp:extent cx="5220970" cy="3968115"/>
                            <wp:effectExtent l="0" t="0" r="0" b="0"/>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3"/>
                                    <a:stretch>
                                      <a:fillRect/>
                                    </a:stretch>
                                  </pic:blipFill>
                                  <pic:spPr bwMode="auto">
                                    <a:xfrm>
                                      <a:off x="0" y="0"/>
                                      <a:ext cx="5220970" cy="396811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non-optimised distribution</w:t>
                      </w:r>
                    </w:p>
                  </w:txbxContent>
                </v:textbox>
                <w10:wrap type="square"/>
              </v:rect>
            </w:pict>
          </mc:Fallback>
        </mc:AlternateContent>
      </w:r>
    </w:p>
    <w:p>
      <w:pPr>
        <w:pStyle w:val="TextBody"/>
        <w:bidi w:val="0"/>
        <w:spacing w:before="0" w:after="140"/>
        <w:jc w:val="both"/>
        <w:rPr/>
      </w:pPr>
      <w:r>
        <w:rPr/>
        <w:t>The return distribution appears bimodal, suitable for modelling via a Gaussian Mixture Model (GMM). Calibration aims to shift the distribution modes as far to the right as possible.</w:t>
      </w:r>
    </w:p>
    <w:p>
      <w:pPr>
        <w:pStyle w:val="TextBody"/>
        <w:rPr/>
      </w:pPr>
      <w:r>
        <w:rPr/>
        <w:t xml:space="preserve">Optimisation is performed using the </w:t>
      </w:r>
      <w:r>
        <w:rPr>
          <w:rStyle w:val="SourceText"/>
        </w:rPr>
        <w:t>optuna</w:t>
      </w:r>
      <w:r>
        <w:rPr/>
        <w:t xml:space="preserve"> library for parallelised, model-guided hyperparameter tuning. This approach finds solutions faster and with fewer trials than grid/random search.</w:t>
      </w:r>
    </w:p>
    <w:p>
      <w:pPr>
        <w:pStyle w:val="TextBody"/>
        <w:rPr/>
      </w:pPr>
      <w:r>
        <w:rPr/>
        <w:t>Calibrated parameter results:</w:t>
      </w:r>
    </w:p>
    <w:p>
      <w:pPr>
        <w:pStyle w:val="TextBody"/>
        <w:numPr>
          <w:ilvl w:val="0"/>
          <w:numId w:val="10"/>
        </w:numPr>
        <w:tabs>
          <w:tab w:val="clear" w:pos="720"/>
          <w:tab w:val="left" w:pos="0" w:leader="none"/>
        </w:tabs>
        <w:ind w:left="709" w:hanging="283"/>
        <w:rPr/>
      </w:pPr>
      <w:r>
        <w:rPr/>
        <w:t>Hurst level: 0.3617</w:t>
      </w:r>
    </w:p>
    <w:p>
      <w:pPr>
        <w:pStyle w:val="TextBody"/>
        <w:numPr>
          <w:ilvl w:val="0"/>
          <w:numId w:val="10"/>
        </w:numPr>
        <w:tabs>
          <w:tab w:val="clear" w:pos="720"/>
          <w:tab w:val="left" w:pos="0" w:leader="none"/>
        </w:tabs>
        <w:ind w:left="709" w:hanging="283"/>
        <w:rPr/>
      </w:pPr>
      <w:r>
        <w:rPr/>
        <w:t>Half-life upper: 62.3571</w:t>
      </w:r>
    </w:p>
    <w:p>
      <w:pPr>
        <w:pStyle w:val="TextBody"/>
        <w:numPr>
          <w:ilvl w:val="0"/>
          <w:numId w:val="10"/>
        </w:numPr>
        <w:tabs>
          <w:tab w:val="clear" w:pos="720"/>
          <w:tab w:val="left" w:pos="0" w:leader="none"/>
        </w:tabs>
        <w:ind w:left="709" w:hanging="283"/>
        <w:rPr/>
      </w:pPr>
      <w:r>
        <w:rPr/>
        <w:t>SMA multiplier: 2.0284</w:t>
      </w:r>
    </w:p>
    <w:p>
      <w:pPr>
        <w:pStyle w:val="TextBody"/>
        <w:bidi w:val="0"/>
        <w:spacing w:before="0" w:after="140"/>
        <w:jc w:val="both"/>
        <w:rPr/>
      </w:pPr>
      <w:r>
        <w:rPr/>
      </w:r>
    </w:p>
    <w:p>
      <w:pPr>
        <w:pStyle w:val="TextBody"/>
        <w:widowControl/>
        <w:tabs>
          <w:tab w:val="clear" w:pos="720"/>
          <w:tab w:val="left" w:pos="850" w:leader="none"/>
        </w:tabs>
        <w:suppressAutoHyphens w:val="true"/>
        <w:bidi w:val="0"/>
        <w:spacing w:lineRule="auto" w:line="276" w:before="0" w:after="140"/>
        <w:jc w:val="both"/>
        <w:rPr/>
      </w:pPr>
      <w:r>
        <w:rPr/>
        <mc:AlternateContent>
          <mc:Choice Requires="wps">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20970" cy="4261485"/>
                <wp:effectExtent l="0" t="0" r="0" b="0"/>
                <wp:wrapSquare wrapText="largest"/>
                <wp:docPr id="5" name="Frame2"/>
                <a:graphic xmlns:a="http://schemas.openxmlformats.org/drawingml/2006/main">
                  <a:graphicData uri="http://schemas.microsoft.com/office/word/2010/wordprocessingShape">
                    <wps:wsp>
                      <wps:cNvSpPr/>
                      <wps:spPr>
                        <a:xfrm>
                          <a:off x="0" y="0"/>
                          <a:ext cx="5221080" cy="426132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color w:val="000000"/>
                              </w:rP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2</w:t>
                            </w:r>
                            <w:r>
                              <w:rPr>
                                <w:color w:val="000000"/>
                              </w:rPr>
                              <w:fldChar w:fldCharType="end"/>
                            </w:r>
                            <w:r>
                              <w:rPr>
                                <w:color w:val="000000"/>
                              </w:rPr>
                              <w:t>: Optimised in-sample return distribution</w:t>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35.4pt;margin-top:0.05pt;width:411.05pt;height:335.5pt;mso-wrap-style:square;v-text-anchor:top;mso-position-horizontal:center">
                <v:fill o:detectmouseclick="t" type="solid" color2="black"/>
                <v:stroke color="#3465a4" joinstyle="round" endcap="flat"/>
                <v:textbox>
                  <w:txbxContent>
                    <w:p>
                      <w:pPr>
                        <w:pStyle w:val="Figure"/>
                        <w:spacing w:before="120" w:after="120"/>
                        <w:jc w:val="center"/>
                        <w:rPr>
                          <w:color w:val="000000"/>
                        </w:rP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2</w:t>
                      </w:r>
                      <w:r>
                        <w:rPr>
                          <w:color w:val="000000"/>
                        </w:rPr>
                        <w:fldChar w:fldCharType="end"/>
                      </w:r>
                      <w:r>
                        <w:rPr>
                          <w:color w:val="000000"/>
                        </w:rPr>
                        <w:t>: Optimised in-sample return distribution</w:t>
                      </w:r>
                    </w:p>
                  </w:txbxContent>
                </v:textbox>
                <w10:wrap type="square" side="largest"/>
              </v:rect>
            </w:pict>
          </mc:Fallback>
        </mc:AlternateContent>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221605" cy="3901440"/>
            <wp:effectExtent l="0" t="0" r="0" b="0"/>
            <wp:wrapSquare wrapText="largest"/>
            <wp:docPr id="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pic:cNvPicPr>
                      <a:picLocks noChangeAspect="1" noChangeArrowheads="1"/>
                    </pic:cNvPicPr>
                  </pic:nvPicPr>
                  <pic:blipFill>
                    <a:blip r:embed="rId4"/>
                    <a:stretch>
                      <a:fillRect/>
                    </a:stretch>
                  </pic:blipFill>
                  <pic:spPr bwMode="auto">
                    <a:xfrm>
                      <a:off x="0" y="0"/>
                      <a:ext cx="5221605" cy="3901440"/>
                    </a:xfrm>
                    <a:prstGeom prst="rect">
                      <a:avLst/>
                    </a:prstGeom>
                  </pic:spPr>
                </pic:pic>
              </a:graphicData>
            </a:graphic>
          </wp:anchor>
        </w:drawing>
      </w:r>
    </w:p>
    <w:p>
      <w:pPr>
        <w:pStyle w:val="TextBody"/>
        <w:widowControl/>
        <w:tabs>
          <w:tab w:val="clear" w:pos="720"/>
          <w:tab w:val="left" w:pos="850" w:leader="none"/>
        </w:tabs>
        <w:suppressAutoHyphens w:val="true"/>
        <w:bidi w:val="0"/>
        <w:spacing w:lineRule="auto" w:line="276" w:before="0" w:after="140"/>
        <w:jc w:val="both"/>
        <w:rPr/>
      </w:pPr>
      <w:r>
        <w:rPr/>
      </w:r>
    </w:p>
    <w:p>
      <w:pPr>
        <w:pStyle w:val="TextBody"/>
        <w:widowControl/>
        <w:tabs>
          <w:tab w:val="clear" w:pos="720"/>
          <w:tab w:val="left" w:pos="850" w:leader="none"/>
        </w:tabs>
        <w:suppressAutoHyphens w:val="true"/>
        <w:bidi w:val="0"/>
        <w:spacing w:lineRule="auto" w:line="276" w:before="0" w:after="140"/>
        <w:jc w:val="both"/>
        <w:rPr/>
      </w:pPr>
      <w:r>
        <w:rPr/>
      </w:r>
    </w:p>
    <w:p>
      <w:pPr>
        <w:pStyle w:val="TextBody"/>
        <w:widowControl/>
        <w:tabs>
          <w:tab w:val="clear" w:pos="720"/>
          <w:tab w:val="left" w:pos="850" w:leader="none"/>
        </w:tabs>
        <w:suppressAutoHyphens w:val="true"/>
        <w:bidi w:val="0"/>
        <w:spacing w:lineRule="auto" w:line="276" w:before="0" w:after="140"/>
        <w:jc w:val="both"/>
        <w:rPr/>
      </w:pPr>
      <w:r>
        <w:rPr/>
      </w:r>
    </w:p>
    <w:p>
      <w:pPr>
        <w:pStyle w:val="TextBody"/>
        <w:widowControl/>
        <w:tabs>
          <w:tab w:val="clear" w:pos="720"/>
          <w:tab w:val="left" w:pos="850" w:leader="none"/>
        </w:tabs>
        <w:suppressAutoHyphens w:val="true"/>
        <w:bidi w:val="0"/>
        <w:spacing w:lineRule="auto" w:line="276" w:before="0" w:after="140"/>
        <w:jc w:val="both"/>
        <w:rPr/>
      </w:pPr>
      <w:r>
        <w:rPr/>
      </w:r>
    </w:p>
    <w:p>
      <w:pPr>
        <w:pStyle w:val="TextBody"/>
        <w:widowControl/>
        <w:tabs>
          <w:tab w:val="clear" w:pos="720"/>
          <w:tab w:val="left" w:pos="850" w:leader="none"/>
        </w:tabs>
        <w:suppressAutoHyphens w:val="true"/>
        <w:bidi w:val="0"/>
        <w:spacing w:lineRule="auto" w:line="276" w:before="0" w:after="140"/>
        <w:jc w:val="both"/>
        <w:rPr/>
      </w:pPr>
      <w:r>
        <w:rPr/>
      </w:r>
    </w:p>
    <w:p>
      <w:pPr>
        <w:pStyle w:val="TextBody"/>
        <w:widowControl/>
        <w:tabs>
          <w:tab w:val="clear" w:pos="720"/>
          <w:tab w:val="left" w:pos="850" w:leader="none"/>
        </w:tabs>
        <w:suppressAutoHyphens w:val="true"/>
        <w:bidi w:val="0"/>
        <w:spacing w:lineRule="auto" w:line="276" w:before="0" w:after="140"/>
        <w:jc w:val="both"/>
        <w:rPr/>
      </w:pPr>
      <w:r>
        <w:rPr/>
      </w:r>
    </w:p>
    <w:p>
      <w:pPr>
        <w:pStyle w:val="TextBody"/>
        <w:widowControl/>
        <w:tabs>
          <w:tab w:val="clear" w:pos="720"/>
          <w:tab w:val="left" w:pos="850" w:leader="none"/>
        </w:tabs>
        <w:suppressAutoHyphens w:val="true"/>
        <w:bidi w:val="0"/>
        <w:spacing w:lineRule="auto" w:line="276" w:before="0" w:after="140"/>
        <w:jc w:val="both"/>
        <w:rPr/>
      </w:pPr>
      <w:r>
        <w:rPr/>
      </w:r>
    </w:p>
    <w:p>
      <w:pPr>
        <w:pStyle w:val="TextBody"/>
        <w:widowControl/>
        <w:tabs>
          <w:tab w:val="clear" w:pos="720"/>
          <w:tab w:val="left" w:pos="850" w:leader="none"/>
        </w:tabs>
        <w:suppressAutoHyphens w:val="true"/>
        <w:bidi w:val="0"/>
        <w:spacing w:lineRule="auto" w:line="276" w:before="0" w:after="140"/>
        <w:jc w:val="both"/>
        <w:rPr/>
      </w:pPr>
      <w:r>
        <w:rPr/>
      </w:r>
    </w:p>
    <w:p>
      <w:pPr>
        <w:pStyle w:val="TextBody"/>
        <w:widowControl/>
        <w:tabs>
          <w:tab w:val="clear" w:pos="720"/>
          <w:tab w:val="left" w:pos="850" w:leader="none"/>
        </w:tabs>
        <w:suppressAutoHyphens w:val="true"/>
        <w:bidi w:val="0"/>
        <w:spacing w:lineRule="auto" w:line="276" w:before="0" w:after="140"/>
        <w:jc w:val="both"/>
        <w:rPr/>
      </w:pPr>
      <w:r>
        <w:rPr/>
      </w:r>
    </w:p>
    <w:p>
      <w:pPr>
        <w:pStyle w:val="TextBody"/>
        <w:widowControl/>
        <w:tabs>
          <w:tab w:val="clear" w:pos="720"/>
          <w:tab w:val="left" w:pos="850" w:leader="none"/>
        </w:tabs>
        <w:suppressAutoHyphens w:val="true"/>
        <w:bidi w:val="0"/>
        <w:spacing w:lineRule="auto" w:line="276" w:before="0" w:after="140"/>
        <w:jc w:val="both"/>
        <w:rPr/>
      </w:pPr>
      <w:r>
        <w:rPr/>
      </w:r>
    </w:p>
    <w:p>
      <w:pPr>
        <w:pStyle w:val="TextBody"/>
        <w:widowControl/>
        <w:tabs>
          <w:tab w:val="clear" w:pos="720"/>
          <w:tab w:val="left" w:pos="850" w:leader="none"/>
        </w:tabs>
        <w:suppressAutoHyphens w:val="true"/>
        <w:bidi w:val="0"/>
        <w:spacing w:lineRule="auto" w:line="276" w:before="0" w:after="140"/>
        <w:jc w:val="both"/>
        <w:rPr/>
      </w:pPr>
      <w:r>
        <w:rPr/>
      </w:r>
    </w:p>
    <w:p>
      <w:pPr>
        <w:pStyle w:val="TextBody"/>
        <w:widowControl/>
        <w:tabs>
          <w:tab w:val="clear" w:pos="720"/>
          <w:tab w:val="left" w:pos="850" w:leader="none"/>
        </w:tabs>
        <w:suppressAutoHyphens w:val="true"/>
        <w:bidi w:val="0"/>
        <w:spacing w:lineRule="auto" w:line="276" w:before="0" w:after="140"/>
        <w:jc w:val="both"/>
        <w:rPr/>
      </w:pPr>
      <w:r>
        <w:rPr/>
      </w:r>
    </w:p>
    <w:p>
      <w:pPr>
        <w:pStyle w:val="TextBody"/>
        <w:widowControl/>
        <w:tabs>
          <w:tab w:val="clear" w:pos="720"/>
          <w:tab w:val="left" w:pos="850" w:leader="none"/>
        </w:tabs>
        <w:suppressAutoHyphens w:val="true"/>
        <w:bidi w:val="0"/>
        <w:spacing w:lineRule="auto" w:line="276" w:before="0" w:after="140"/>
        <w:jc w:val="both"/>
        <w:rPr/>
      </w:pPr>
      <w:r>
        <w:rPr/>
      </w:r>
    </w:p>
    <w:p>
      <w:pPr>
        <w:pStyle w:val="TextBody"/>
        <w:bidi w:val="0"/>
        <w:spacing w:before="0" w:after="140"/>
        <w:jc w:val="left"/>
        <w:rPr/>
      </w:pPr>
      <w:r>
        <w:rPr/>
      </w:r>
    </w:p>
    <w:p>
      <w:pPr>
        <w:pStyle w:val="TextBody"/>
        <w:bidi w:val="0"/>
        <w:spacing w:before="0" w:after="140"/>
        <w:jc w:val="left"/>
        <w:rPr/>
      </w:pPr>
      <w:r>
        <w:rPr/>
        <w:t>The optimised return distribution has a mean at −17% and 4%, with 30% of returns in the left (loss) distribution and 70% in the right (gain) distribution.</w:t>
      </w:r>
    </w:p>
    <w:p>
      <w:pPr>
        <w:pStyle w:val="TextBody"/>
        <w:bidi w:val="0"/>
        <w:spacing w:before="0" w:after="140"/>
        <w:jc w:val="left"/>
        <w:rPr/>
      </w:pPr>
      <w:r>
        <w:rPr/>
      </w:r>
    </w:p>
    <w:p>
      <w:pPr>
        <w:pStyle w:val="TextBody"/>
        <w:bidi w:val="0"/>
        <w:spacing w:before="0" w:after="140"/>
        <w:jc w:val="left"/>
        <w:rPr/>
      </w:pPr>
      <w:r>
        <w:rPr/>
      </w:r>
    </w:p>
    <w:p>
      <w:pPr>
        <w:pStyle w:val="TextBody"/>
        <w:bidi w:val="0"/>
        <w:spacing w:before="0" w:after="140"/>
        <w:jc w:val="left"/>
        <w:rPr/>
      </w:pPr>
      <w:r>
        <w:rPr/>
      </w:r>
    </w:p>
    <w:p>
      <w:pPr>
        <w:pStyle w:val="TextBody"/>
        <w:bidi w:val="0"/>
        <w:spacing w:before="0" w:after="140"/>
        <w:jc w:val="left"/>
        <w:rPr/>
      </w:pPr>
      <w:r>
        <w:rPr/>
      </w:r>
    </w:p>
    <w:p>
      <w:pPr>
        <w:pStyle w:val="TextBody"/>
        <w:bidi w:val="0"/>
        <w:spacing w:before="0" w:after="140"/>
        <w:jc w:val="left"/>
        <w:rPr/>
      </w:pPr>
      <w:r>
        <w:rPr/>
      </w:r>
    </w:p>
    <w:p>
      <w:pPr>
        <w:pStyle w:val="TextBody"/>
        <w:bidi w:val="0"/>
        <w:spacing w:before="0" w:after="140"/>
        <w:jc w:val="left"/>
        <w:rPr/>
      </w:pPr>
      <w:r>
        <w:rPr/>
      </w:r>
    </w:p>
    <w:p>
      <w:pPr>
        <w:pStyle w:val="TextBody"/>
        <w:bidi w:val="0"/>
        <w:spacing w:before="0" w:after="140"/>
        <w:jc w:val="left"/>
        <w:rPr/>
      </w:pPr>
      <w:r>
        <w:rPr/>
      </w:r>
    </w:p>
    <w:p>
      <w:pPr>
        <w:pStyle w:val="TextBody"/>
        <w:bidi w:val="0"/>
        <w:spacing w:before="0" w:after="140"/>
        <w:jc w:val="left"/>
        <w:rPr/>
      </w:pPr>
      <w:r>
        <w:rPr/>
      </w:r>
    </w:p>
    <w:p>
      <w:pPr>
        <w:pStyle w:val="TextBody"/>
        <w:bidi w:val="0"/>
        <w:spacing w:before="0" w:after="140"/>
        <w:jc w:val="left"/>
        <w:rPr/>
      </w:pPr>
      <w:r>
        <w:rPr/>
      </w:r>
    </w:p>
    <w:p>
      <w:pPr>
        <w:pStyle w:val="TextBody"/>
        <w:bidi w:val="0"/>
        <w:spacing w:before="0" w:after="140"/>
        <w:jc w:val="left"/>
        <w:rPr/>
      </w:pPr>
      <w:r>
        <w:rPr/>
      </w:r>
    </w:p>
    <w:p>
      <w:pPr>
        <w:pStyle w:val="TextBody"/>
        <w:bidi w:val="0"/>
        <w:spacing w:before="0" w:after="140"/>
        <w:jc w:val="left"/>
        <w:rPr/>
      </w:pPr>
      <w:r>
        <w:rPr/>
      </w:r>
    </w:p>
    <w:p>
      <w:pPr>
        <w:pStyle w:val="TextBody"/>
        <w:bidi w:val="0"/>
        <w:spacing w:before="0" w:after="140"/>
        <w:jc w:val="left"/>
        <w:rPr/>
      </w:pPr>
      <w:r>
        <w:rPr/>
      </w:r>
    </w:p>
    <w:p>
      <w:pPr>
        <w:pStyle w:val="TextBody"/>
        <w:bidi w:val="0"/>
        <w:spacing w:before="0" w:after="140"/>
        <w:jc w:val="left"/>
        <w:rPr/>
      </w:pPr>
      <w:r>
        <w:rPr/>
      </w:r>
    </w:p>
    <w:p>
      <w:pPr>
        <w:pStyle w:val="TextBody"/>
        <w:bidi w:val="0"/>
        <w:spacing w:before="0" w:after="140"/>
        <w:jc w:val="left"/>
        <w:rPr/>
      </w:pPr>
      <w:r>
        <w:rPr/>
      </w:r>
    </w:p>
    <w:p>
      <w:pPr>
        <w:pStyle w:val="TextBody"/>
        <w:bidi w:val="0"/>
        <w:spacing w:before="0" w:after="140"/>
        <w:jc w:val="left"/>
        <w:rPr/>
      </w:pPr>
      <w:r>
        <w:rPr/>
      </w:r>
    </w:p>
    <w:p>
      <w:pPr>
        <w:pStyle w:val="Heading4"/>
        <w:bidi w:val="0"/>
        <w:spacing w:before="0" w:after="140"/>
        <w:jc w:val="left"/>
        <w:rPr/>
      </w:pPr>
      <w:r>
        <w:rPr/>
        <w:t xml:space="preserve"> </w:t>
      </w:r>
      <w:r>
        <w:rPr/>
        <w:t>Out-Sample Back-testing</w:t>
      </w:r>
    </w:p>
    <w:p>
      <w:pPr>
        <w:pStyle w:val="TextBody"/>
        <w:bidi w:val="0"/>
        <w:spacing w:before="0" w:after="140"/>
        <w:jc w:val="both"/>
        <w:rPr/>
      </w:pPr>
      <w:r>
        <w:rPr/>
        <w:t>Out-of-sample testing uses 3 years of historical data. Figures below (not shown here) depict the return distribution and cumulative return.</w:t>
      </w:r>
    </w:p>
    <w:p>
      <w:pPr>
        <w:pStyle w:val="TextBody"/>
        <w:bidi w:val="0"/>
        <w:spacing w:before="0" w:after="140"/>
        <w:jc w:val="both"/>
        <w:rPr/>
      </w:pPr>
      <w:r>
        <w:rPr/>
        <mc:AlternateContent>
          <mc:Choice Requires="wps">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220970" cy="4142105"/>
                <wp:effectExtent l="0" t="0" r="0" b="0"/>
                <wp:wrapSquare wrapText="largest"/>
                <wp:docPr id="8" name="Frame3"/>
                <a:graphic xmlns:a="http://schemas.openxmlformats.org/drawingml/2006/main">
                  <a:graphicData uri="http://schemas.microsoft.com/office/word/2010/wordprocessingShape">
                    <wps:wsp>
                      <wps:cNvSpPr/>
                      <wps:spPr>
                        <a:xfrm>
                          <a:off x="0" y="0"/>
                          <a:ext cx="5221080" cy="414216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t xml:space="preserve">Figure </w:t>
                            </w:r>
                            <w:r>
                              <w:rPr/>
                              <w:drawing>
                                <wp:inline distT="0" distB="0" distL="0" distR="0">
                                  <wp:extent cx="4785995" cy="3797300"/>
                                  <wp:effectExtent l="0" t="0" r="0" b="0"/>
                                  <wp:docPr id="1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
                                          <pic:cNvPicPr>
                                            <a:picLocks noChangeAspect="1" noChangeArrowheads="1"/>
                                          </pic:cNvPicPr>
                                        </pic:nvPicPr>
                                        <pic:blipFill>
                                          <a:blip r:embed="rId5"/>
                                          <a:stretch>
                                            <a:fillRect/>
                                          </a:stretch>
                                        </pic:blipFill>
                                        <pic:spPr bwMode="auto">
                                          <a:xfrm>
                                            <a:off x="0" y="0"/>
                                            <a:ext cx="4785995" cy="3797300"/>
                                          </a:xfrm>
                                          <a:prstGeom prst="rect">
                                            <a:avLst/>
                                          </a:prstGeom>
                                        </pic:spPr>
                                      </pic:pic>
                                    </a:graphicData>
                                  </a:graphic>
                                </wp:inline>
                              </w:drawing>
                            </w:r>
                            <w:r>
                              <w:rPr/>
                              <w:fldChar w:fldCharType="begin"/>
                            </w:r>
                            <w:r>
                              <w:rPr/>
                              <w:instrText xml:space="preserve"> SEQ Figure \* ARABIC </w:instrText>
                            </w:r>
                            <w:r>
                              <w:rPr/>
                              <w:fldChar w:fldCharType="separate"/>
                            </w:r>
                            <w:r>
                              <w:rPr/>
                              <w:t>3</w:t>
                            </w:r>
                            <w:r>
                              <w:rPr/>
                              <w:fldChar w:fldCharType="end"/>
                            </w:r>
                            <w:r>
                              <w:rPr/>
                              <w:t>: out-sample distribution</w:t>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35.4pt;margin-top:0.05pt;width:411.05pt;height:326.1pt;mso-wrap-style:square;v-text-anchor:top;mso-position-horizontal:center">
                <v:fill o:detectmouseclick="t" type="solid" color2="black"/>
                <v:stroke color="#3465a4" joinstyle="round" endcap="flat"/>
                <v:textbox>
                  <w:txbxContent>
                    <w:p>
                      <w:pPr>
                        <w:pStyle w:val="Figure"/>
                        <w:spacing w:before="120" w:after="120"/>
                        <w:rPr/>
                      </w:pPr>
                      <w:r>
                        <w:rPr/>
                        <w:t xml:space="preserve">Figure </w:t>
                      </w:r>
                      <w:r>
                        <w:rPr/>
                        <w:drawing>
                          <wp:inline distT="0" distB="0" distL="0" distR="0">
                            <wp:extent cx="4785995" cy="3797300"/>
                            <wp:effectExtent l="0" t="0" r="0" b="0"/>
                            <wp:docPr id="1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
                                    <pic:cNvPicPr>
                                      <a:picLocks noChangeAspect="1" noChangeArrowheads="1"/>
                                    </pic:cNvPicPr>
                                  </pic:nvPicPr>
                                  <pic:blipFill>
                                    <a:blip r:embed="rId6"/>
                                    <a:stretch>
                                      <a:fillRect/>
                                    </a:stretch>
                                  </pic:blipFill>
                                  <pic:spPr bwMode="auto">
                                    <a:xfrm>
                                      <a:off x="0" y="0"/>
                                      <a:ext cx="4785995" cy="3797300"/>
                                    </a:xfrm>
                                    <a:prstGeom prst="rect">
                                      <a:avLst/>
                                    </a:prstGeom>
                                  </pic:spPr>
                                </pic:pic>
                              </a:graphicData>
                            </a:graphic>
                          </wp:inline>
                        </w:drawing>
                      </w:r>
                      <w:r>
                        <w:rPr/>
                        <w:fldChar w:fldCharType="begin"/>
                      </w:r>
                      <w:r>
                        <w:rPr/>
                        <w:instrText xml:space="preserve"> SEQ Figure \* ARABIC </w:instrText>
                      </w:r>
                      <w:r>
                        <w:rPr/>
                        <w:fldChar w:fldCharType="separate"/>
                      </w:r>
                      <w:r>
                        <w:rPr/>
                        <w:t>3</w:t>
                      </w:r>
                      <w:r>
                        <w:rPr/>
                        <w:fldChar w:fldCharType="end"/>
                      </w:r>
                      <w:r>
                        <w:rPr/>
                        <w:t>: out-sample distribution</w:t>
                      </w:r>
                    </w:p>
                  </w:txbxContent>
                </v:textbox>
                <w10:wrap type="square" side="largest"/>
              </v:rect>
            </w:pict>
          </mc:Fallback>
        </mc:AlternateContent>
      </w:r>
    </w:p>
    <w:p>
      <w:pPr>
        <w:pStyle w:val="TextBody"/>
        <w:bidi w:val="0"/>
        <w:spacing w:before="0" w:after="140"/>
        <w:jc w:val="both"/>
        <w:rPr/>
      </w:pPr>
      <w:r>
        <w:rPr/>
      </w:r>
    </w:p>
    <w:p>
      <w:pPr>
        <w:pStyle w:val="TextBody"/>
        <w:bidi w:val="0"/>
        <w:spacing w:before="0" w:after="140"/>
        <w:jc w:val="both"/>
        <w:rPr/>
      </w:pPr>
      <w:r>
        <w:rPr/>
      </w:r>
    </w:p>
    <w:p>
      <w:pPr>
        <w:pStyle w:val="TextBody"/>
        <w:bidi w:val="0"/>
        <w:spacing w:before="0" w:after="140"/>
        <w:jc w:val="both"/>
        <w:rPr/>
      </w:pPr>
      <w:r>
        <w:rPr/>
      </w:r>
    </w:p>
    <w:p>
      <w:pPr>
        <w:pStyle w:val="TextBody"/>
        <w:bidi w:val="0"/>
        <w:spacing w:before="0" w:after="140"/>
        <w:jc w:val="both"/>
        <w:rPr/>
      </w:pPr>
      <w:r>
        <w:rPr/>
      </w:r>
    </w:p>
    <w:p>
      <w:pPr>
        <w:pStyle w:val="TextBody"/>
        <w:bidi w:val="0"/>
        <w:spacing w:before="0" w:after="140"/>
        <w:jc w:val="both"/>
        <w:rPr/>
      </w:pPr>
      <w:r>
        <w:rPr/>
      </w:r>
    </w:p>
    <w:p>
      <w:pPr>
        <w:pStyle w:val="TextBody"/>
        <w:bidi w:val="0"/>
        <w:spacing w:before="0" w:after="140"/>
        <w:jc w:val="both"/>
        <w:rPr/>
      </w:pPr>
      <w:r>
        <w:rPr/>
      </w:r>
    </w:p>
    <w:p>
      <w:pPr>
        <w:pStyle w:val="TextBody"/>
        <w:bidi w:val="0"/>
        <w:spacing w:before="0" w:after="140"/>
        <w:jc w:val="both"/>
        <w:rPr/>
      </w:pPr>
      <w:r>
        <w:rPr/>
      </w:r>
    </w:p>
    <w:p>
      <w:pPr>
        <w:pStyle w:val="TextBody"/>
        <w:bidi w:val="0"/>
        <w:spacing w:before="0" w:after="140"/>
        <w:jc w:val="both"/>
        <w:rPr/>
      </w:pPr>
      <w:r>
        <w:rPr/>
      </w:r>
    </w:p>
    <w:p>
      <w:pPr>
        <w:pStyle w:val="TextBody"/>
        <w:bidi w:val="0"/>
        <w:spacing w:before="0" w:after="140"/>
        <w:jc w:val="both"/>
        <w:rPr/>
      </w:pPr>
      <w:r>
        <w:rPr/>
      </w:r>
    </w:p>
    <w:p>
      <w:pPr>
        <w:pStyle w:val="TextBody"/>
        <w:bidi w:val="0"/>
        <w:spacing w:before="0" w:after="140"/>
        <w:jc w:val="both"/>
        <w:rPr/>
      </w:pPr>
      <w:r>
        <w:rPr/>
      </w:r>
    </w:p>
    <w:p>
      <w:pPr>
        <w:pStyle w:val="TextBody"/>
        <w:bidi w:val="0"/>
        <w:spacing w:before="0" w:after="140"/>
        <w:jc w:val="both"/>
        <w:rPr/>
      </w:pPr>
      <w:r>
        <w:rPr/>
      </w:r>
    </w:p>
    <w:p>
      <w:pPr>
        <w:pStyle w:val="TextBody"/>
        <w:bidi w:val="0"/>
        <w:spacing w:before="0" w:after="140"/>
        <w:jc w:val="both"/>
        <w:rPr/>
      </w:pPr>
      <w:r>
        <w:rPr/>
      </w:r>
    </w:p>
    <w:p>
      <w:pPr>
        <w:pStyle w:val="TextBody"/>
        <w:bidi w:val="0"/>
        <w:spacing w:before="0" w:after="140"/>
        <w:jc w:val="both"/>
        <w:rPr/>
      </w:pPr>
      <w:r>
        <w:rPr/>
      </w:r>
    </w:p>
    <w:p>
      <w:pPr>
        <w:pStyle w:val="TextBody"/>
        <w:bidi w:val="0"/>
        <w:spacing w:before="0" w:after="140"/>
        <w:jc w:val="both"/>
        <w:rPr/>
      </w:pPr>
      <w:r>
        <w:rPr/>
      </w:r>
    </w:p>
    <w:p>
      <w:pPr>
        <w:pStyle w:val="TextBody"/>
        <w:bidi w:val="0"/>
        <w:spacing w:before="0" w:after="140"/>
        <w:jc w:val="both"/>
        <w:rPr/>
      </w:pPr>
      <w:r>
        <w:rPr/>
        <mc:AlternateContent>
          <mc:Choice Requires="wps">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4618990" cy="3696970"/>
                <wp:effectExtent l="0" t="0" r="0" b="0"/>
                <wp:wrapSquare wrapText="largest"/>
                <wp:docPr id="12" name="Frame4"/>
                <a:graphic xmlns:a="http://schemas.openxmlformats.org/drawingml/2006/main">
                  <a:graphicData uri="http://schemas.microsoft.com/office/word/2010/wordprocessingShape">
                    <wps:wsp>
                      <wps:cNvSpPr/>
                      <wps:spPr>
                        <a:xfrm>
                          <a:off x="0" y="0"/>
                          <a:ext cx="4619160" cy="369684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pPr>
                            <w:r>
                              <w:rPr/>
                              <w:drawing>
                                <wp:inline distT="0" distB="0" distL="0" distR="0">
                                  <wp:extent cx="4618990" cy="3445510"/>
                                  <wp:effectExtent l="0" t="0" r="0" b="0"/>
                                  <wp:docPr id="1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descr=""/>
                                          <pic:cNvPicPr>
                                            <a:picLocks noChangeAspect="1" noChangeArrowheads="1"/>
                                          </pic:cNvPicPr>
                                        </pic:nvPicPr>
                                        <pic:blipFill>
                                          <a:blip r:embed="rId7"/>
                                          <a:stretch>
                                            <a:fillRect/>
                                          </a:stretch>
                                        </pic:blipFill>
                                        <pic:spPr bwMode="auto">
                                          <a:xfrm>
                                            <a:off x="0" y="0"/>
                                            <a:ext cx="4618990" cy="344551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4</w:t>
                            </w:r>
                            <w:r>
                              <w:rPr/>
                              <w:fldChar w:fldCharType="end"/>
                            </w:r>
                            <w:r>
                              <w:rPr/>
                              <w:t>: cumulative return</w:t>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59.1pt;margin-top:0.05pt;width:363.65pt;height:291.05pt;mso-wrap-style:square;v-text-anchor:top;mso-position-horizontal:center">
                <v:fill o:detectmouseclick="t" type="solid" color2="black"/>
                <v:stroke color="#3465a4" joinstyle="round" endcap="flat"/>
                <v:textbox>
                  <w:txbxContent>
                    <w:p>
                      <w:pPr>
                        <w:pStyle w:val="Figure"/>
                        <w:spacing w:before="120" w:after="120"/>
                        <w:jc w:val="center"/>
                        <w:rPr/>
                      </w:pPr>
                      <w:r>
                        <w:rPr/>
                        <w:drawing>
                          <wp:inline distT="0" distB="0" distL="0" distR="0">
                            <wp:extent cx="4618990" cy="3445510"/>
                            <wp:effectExtent l="0" t="0" r="0" b="0"/>
                            <wp:docPr id="1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
                                    <pic:cNvPicPr>
                                      <a:picLocks noChangeAspect="1" noChangeArrowheads="1"/>
                                    </pic:cNvPicPr>
                                  </pic:nvPicPr>
                                  <pic:blipFill>
                                    <a:blip r:embed="rId8"/>
                                    <a:stretch>
                                      <a:fillRect/>
                                    </a:stretch>
                                  </pic:blipFill>
                                  <pic:spPr bwMode="auto">
                                    <a:xfrm>
                                      <a:off x="0" y="0"/>
                                      <a:ext cx="4618990" cy="344551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4</w:t>
                      </w:r>
                      <w:r>
                        <w:rPr/>
                        <w:fldChar w:fldCharType="end"/>
                      </w:r>
                      <w:r>
                        <w:rPr/>
                        <w:t>: cumulative return</w:t>
                      </w:r>
                    </w:p>
                  </w:txbxContent>
                </v:textbox>
                <w10:wrap type="square" side="largest"/>
              </v:rect>
            </w:pict>
          </mc:Fallback>
        </mc:AlternateContent>
      </w:r>
      <w:r>
        <w:rPr/>
        <w:t xml:space="preserve"> </w:t>
      </w:r>
    </w:p>
    <w:p>
      <w:pPr>
        <w:pStyle w:val="TextBody"/>
        <w:bidi w:val="0"/>
        <w:spacing w:before="0" w:after="140"/>
        <w:jc w:val="both"/>
        <w:rPr/>
      </w:pPr>
      <w:r>
        <w:rPr/>
      </w:r>
    </w:p>
    <w:p>
      <w:pPr>
        <w:pStyle w:val="TextBody"/>
        <w:bidi w:val="0"/>
        <w:spacing w:before="0" w:after="140"/>
        <w:jc w:val="both"/>
        <w:rPr/>
      </w:pPr>
      <w:r>
        <w:rPr/>
      </w:r>
    </w:p>
    <w:p>
      <w:pPr>
        <w:pStyle w:val="TextBody"/>
        <w:bidi w:val="0"/>
        <w:spacing w:before="0" w:after="140"/>
        <w:jc w:val="both"/>
        <w:rPr/>
      </w:pPr>
      <w:r>
        <w:rPr/>
      </w:r>
    </w:p>
    <w:p>
      <w:pPr>
        <w:pStyle w:val="TextBody"/>
        <w:bidi w:val="0"/>
        <w:spacing w:before="0" w:after="140"/>
        <w:jc w:val="both"/>
        <w:rPr/>
      </w:pPr>
      <w:r>
        <w:rPr/>
      </w:r>
    </w:p>
    <w:p>
      <w:pPr>
        <w:pStyle w:val="TextBody"/>
        <w:bidi w:val="0"/>
        <w:spacing w:before="0" w:after="140"/>
        <w:jc w:val="both"/>
        <w:rPr/>
      </w:pPr>
      <w:r>
        <w:rPr/>
      </w:r>
    </w:p>
    <w:p>
      <w:pPr>
        <w:pStyle w:val="TextBody"/>
        <w:bidi w:val="0"/>
        <w:spacing w:before="0" w:after="140"/>
        <w:jc w:val="left"/>
        <w:rPr/>
      </w:pPr>
      <w:r>
        <w:rPr/>
      </w:r>
    </w:p>
    <w:p>
      <w:pPr>
        <w:pStyle w:val="TextBody"/>
        <w:bidi w:val="0"/>
        <w:spacing w:before="0" w:after="140"/>
        <w:jc w:val="left"/>
        <w:rPr/>
      </w:pPr>
      <w:r>
        <w:rPr/>
      </w:r>
    </w:p>
    <w:p>
      <w:pPr>
        <w:pStyle w:val="TextBody"/>
        <w:bidi w:val="0"/>
        <w:spacing w:before="0" w:after="140"/>
        <w:jc w:val="left"/>
        <w:rPr/>
      </w:pPr>
      <w:r>
        <w:rPr/>
      </w:r>
    </w:p>
    <w:p>
      <w:pPr>
        <w:pStyle w:val="TextBody"/>
        <w:bidi w:val="0"/>
        <w:spacing w:before="0" w:after="140"/>
        <w:jc w:val="left"/>
        <w:rPr/>
      </w:pPr>
      <w:r>
        <w:rPr/>
      </w:r>
    </w:p>
    <w:p>
      <w:pPr>
        <w:pStyle w:val="TextBody"/>
        <w:bidi w:val="0"/>
        <w:spacing w:before="0" w:after="140"/>
        <w:jc w:val="left"/>
        <w:rPr/>
      </w:pPr>
      <w:r>
        <w:rPr/>
      </w:r>
    </w:p>
    <w:p>
      <w:pPr>
        <w:pStyle w:val="TextBody"/>
        <w:bidi w:val="0"/>
        <w:spacing w:before="0" w:after="140"/>
        <w:jc w:val="left"/>
        <w:rPr/>
      </w:pPr>
      <w:r>
        <w:rPr/>
      </w:r>
    </w:p>
    <w:p>
      <w:pPr>
        <w:pStyle w:val="TextBody"/>
        <w:bidi w:val="0"/>
        <w:spacing w:before="0" w:after="140"/>
        <w:jc w:val="left"/>
        <w:rPr/>
      </w:pPr>
      <w:r>
        <w:rPr/>
      </w:r>
    </w:p>
    <w:p>
      <w:pPr>
        <w:pStyle w:val="Heading2"/>
        <w:bidi w:val="0"/>
        <w:spacing w:before="0" w:after="140"/>
        <w:jc w:val="left"/>
        <w:rPr/>
      </w:pPr>
      <w:r>
        <w:rPr/>
        <w:t>Future Improvements</w:t>
      </w:r>
    </w:p>
    <w:p>
      <w:pPr>
        <w:pStyle w:val="TextBody"/>
        <w:bidi w:val="0"/>
        <w:spacing w:before="0" w:after="140"/>
        <w:jc w:val="left"/>
        <w:rPr/>
      </w:pPr>
      <w:r>
        <w:rPr/>
        <w:t>Planned improvements include:</w:t>
      </w:r>
    </w:p>
    <w:p>
      <w:pPr>
        <w:pStyle w:val="TextBody"/>
        <w:numPr>
          <w:ilvl w:val="0"/>
          <w:numId w:val="11"/>
        </w:numPr>
        <w:tabs>
          <w:tab w:val="clear" w:pos="720"/>
          <w:tab w:val="left" w:pos="0" w:leader="none"/>
        </w:tabs>
        <w:ind w:left="709" w:hanging="283"/>
        <w:rPr/>
      </w:pPr>
      <w:r>
        <w:rPr/>
        <w:t>Calibrating Hurst, half-life, and SMA multiplier using GMM</w:t>
      </w:r>
    </w:p>
    <w:p>
      <w:pPr>
        <w:pStyle w:val="TextBody"/>
        <w:numPr>
          <w:ilvl w:val="0"/>
          <w:numId w:val="11"/>
        </w:numPr>
        <w:tabs>
          <w:tab w:val="clear" w:pos="720"/>
          <w:tab w:val="left" w:pos="0" w:leader="none"/>
        </w:tabs>
        <w:ind w:left="709" w:hanging="283"/>
        <w:rPr/>
      </w:pPr>
      <w:r>
        <w:rPr/>
        <w:t>Exploring alternative mean-reverting models (e.g., CIR, Ho-Lee)</w:t>
      </w:r>
    </w:p>
    <w:p>
      <w:pPr>
        <w:pStyle w:val="TextBody"/>
        <w:numPr>
          <w:ilvl w:val="0"/>
          <w:numId w:val="11"/>
        </w:numPr>
        <w:tabs>
          <w:tab w:val="clear" w:pos="720"/>
          <w:tab w:val="left" w:pos="0" w:leader="none"/>
        </w:tabs>
        <w:ind w:left="709" w:hanging="283"/>
        <w:rPr/>
      </w:pPr>
      <w:r>
        <w:rPr/>
        <w:t>Allowing dynamic investment amounts per portfolio</w:t>
      </w:r>
    </w:p>
    <w:p>
      <w:pPr>
        <w:pStyle w:val="TextBody"/>
        <w:numPr>
          <w:ilvl w:val="0"/>
          <w:numId w:val="11"/>
        </w:numPr>
        <w:tabs>
          <w:tab w:val="clear" w:pos="720"/>
          <w:tab w:val="left" w:pos="0" w:leader="none"/>
        </w:tabs>
        <w:ind w:left="709" w:hanging="283"/>
        <w:rPr/>
      </w:pPr>
      <w:r>
        <w:rPr/>
        <w:t>Varying the number of stocks in a portfolio</w:t>
      </w:r>
    </w:p>
    <w:p>
      <w:pPr>
        <w:pStyle w:val="TextBody"/>
        <w:numPr>
          <w:ilvl w:val="0"/>
          <w:numId w:val="11"/>
        </w:numPr>
        <w:tabs>
          <w:tab w:val="clear" w:pos="720"/>
          <w:tab w:val="left" w:pos="0" w:leader="none"/>
        </w:tabs>
        <w:ind w:left="709" w:hanging="283"/>
        <w:rPr/>
      </w:pPr>
      <w:r>
        <w:rPr/>
        <w:t>Optimising stop loss and take-profit levels</w:t>
      </w:r>
    </w:p>
    <w:p>
      <w:pPr>
        <w:pStyle w:val="TextBody"/>
        <w:numPr>
          <w:ilvl w:val="0"/>
          <w:numId w:val="11"/>
        </w:numPr>
        <w:tabs>
          <w:tab w:val="clear" w:pos="720"/>
          <w:tab w:val="left" w:pos="0" w:leader="none"/>
        </w:tabs>
        <w:ind w:left="709" w:hanging="283"/>
        <w:rPr/>
      </w:pPr>
      <w:r>
        <w:rPr/>
        <w:t>Testing additional technical indicators</w:t>
      </w:r>
    </w:p>
    <w:p>
      <w:pPr>
        <w:pStyle w:val="TextBody"/>
        <w:numPr>
          <w:ilvl w:val="0"/>
          <w:numId w:val="11"/>
        </w:numPr>
        <w:tabs>
          <w:tab w:val="clear" w:pos="720"/>
          <w:tab w:val="left" w:pos="0" w:leader="none"/>
        </w:tabs>
        <w:ind w:left="709" w:hanging="283"/>
        <w:rPr/>
      </w:pPr>
      <w:r>
        <w:rPr/>
        <w:t xml:space="preserve">More frequent calibration (e.g., daily, </w:t>
      </w:r>
      <w:r>
        <w:rPr/>
        <w:t>weekly</w:t>
      </w:r>
      <w:r>
        <w:rPr/>
        <w:t>)</w:t>
      </w:r>
    </w:p>
    <w:p>
      <w:pPr>
        <w:pStyle w:val="TextBody"/>
        <w:bidi w:val="0"/>
        <w:spacing w:before="0" w:after="14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modern"/>
    <w:pitch w:val="fixed"/>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rPr/>
    </w:lvl>
    <w:lvl w:ilvl="1">
      <w:start w:val="1"/>
      <w:pStyle w:val="Heading2"/>
      <w:numFmt w:val="decimal"/>
      <w:lvlText w:val="%1.%2."/>
      <w:lvlJc w:val="left"/>
      <w:pPr>
        <w:tabs>
          <w:tab w:val="num" w:pos="0"/>
        </w:tabs>
        <w:ind w:left="0" w:hanging="0"/>
      </w:pPr>
      <w:rPr/>
    </w:lvl>
    <w:lvl w:ilvl="2">
      <w:start w:val="1"/>
      <w:pStyle w:val="Heading3"/>
      <w:numFmt w:val="decimal"/>
      <w:lvlText w:val="%1.%2.%3."/>
      <w:lvlJc w:val="left"/>
      <w:pPr>
        <w:tabs>
          <w:tab w:val="num" w:pos="0"/>
        </w:tabs>
        <w:ind w:left="0" w:hanging="0"/>
      </w:pPr>
      <w:rPr/>
    </w:lvl>
    <w:lvl w:ilvl="3">
      <w:start w:val="1"/>
      <w:pStyle w:val="Heading4"/>
      <w:numFmt w:val="decimal"/>
      <w:suff w:val="nothing"/>
      <w:lvlText w:val="%2.%3.%4."/>
      <w:lvlJc w:val="left"/>
      <w:pPr>
        <w:tabs>
          <w:tab w:val="num" w:pos="0"/>
        </w:tabs>
        <w:ind w:left="0" w:hanging="0"/>
      </w:pPr>
      <w:rPr/>
    </w:lvl>
    <w:lvl w:ilvl="4">
      <w:start w:val="1"/>
      <w:pStyle w:val="Heading5"/>
      <w:numFmt w:val="none"/>
      <w:suff w:val="nothing"/>
      <w:lvlText w:val=""/>
      <w:lvlJc w:val="left"/>
      <w:pPr>
        <w:tabs>
          <w:tab w:val="num" w:pos="0"/>
        </w:tabs>
        <w:ind w:left="0" w:hanging="0"/>
      </w:pPr>
      <w:rPr/>
    </w:lvl>
    <w:lvl w:ilvl="5">
      <w:start w:val="1"/>
      <w:pStyle w:val="Heading6"/>
      <w:numFmt w:val="none"/>
      <w:suff w:val="nothing"/>
      <w:lvlText w:val=""/>
      <w:lvlJc w:val="left"/>
      <w:pPr>
        <w:tabs>
          <w:tab w:val="num" w:pos="0"/>
        </w:tabs>
        <w:ind w:left="0" w:hanging="0"/>
      </w:pPr>
      <w:rPr/>
    </w:lvl>
    <w:lvl w:ilvl="6">
      <w:start w:val="1"/>
      <w:pStyle w:val="Heading7"/>
      <w:numFmt w:val="none"/>
      <w:suff w:val="nothing"/>
      <w:lvlText w:val=""/>
      <w:lvlJc w:val="left"/>
      <w:pPr>
        <w:tabs>
          <w:tab w:val="num" w:pos="0"/>
        </w:tabs>
        <w:ind w:left="0" w:hanging="0"/>
      </w:pPr>
      <w:rPr/>
    </w:lvl>
    <w:lvl w:ilvl="7">
      <w:start w:val="1"/>
      <w:pStyle w:val="Heading8"/>
      <w:numFmt w:val="none"/>
      <w:suff w:val="nothing"/>
      <w:lvlText w:val=""/>
      <w:lvlJc w:val="left"/>
      <w:pPr>
        <w:tabs>
          <w:tab w:val="num" w:pos="0"/>
        </w:tabs>
        <w:ind w:left="0" w:hanging="0"/>
      </w:pPr>
      <w:rPr/>
    </w:lvl>
    <w:lvl w:ilvl="8">
      <w:start w:val="1"/>
      <w:pStyle w:val="Heading9"/>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A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AU"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paragraph" w:styleId="Heading4">
    <w:name w:val="Heading 4"/>
    <w:basedOn w:val="Heading"/>
    <w:next w:val="TextBody"/>
    <w:qFormat/>
    <w:pPr>
      <w:numPr>
        <w:ilvl w:val="3"/>
        <w:numId w:val="1"/>
      </w:numPr>
      <w:spacing w:before="120" w:after="120"/>
      <w:outlineLvl w:val="3"/>
    </w:pPr>
    <w:rPr>
      <w:b/>
      <w:bCs/>
      <w:i/>
      <w:iCs/>
      <w:sz w:val="26"/>
      <w:szCs w:val="26"/>
    </w:rPr>
  </w:style>
  <w:style w:type="paragraph" w:styleId="Heading5">
    <w:name w:val="Heading 5"/>
    <w:basedOn w:val="Heading"/>
    <w:next w:val="TextBody"/>
    <w:qFormat/>
    <w:pPr>
      <w:numPr>
        <w:ilvl w:val="4"/>
        <w:numId w:val="1"/>
      </w:numPr>
      <w:spacing w:before="120" w:after="60"/>
      <w:outlineLvl w:val="4"/>
    </w:pPr>
    <w:rPr>
      <w:b/>
      <w:bCs/>
      <w:sz w:val="24"/>
      <w:szCs w:val="24"/>
    </w:rPr>
  </w:style>
  <w:style w:type="paragraph" w:styleId="Heading6">
    <w:name w:val="Heading 6"/>
    <w:basedOn w:val="Heading"/>
    <w:next w:val="TextBody"/>
    <w:qFormat/>
    <w:pPr>
      <w:numPr>
        <w:ilvl w:val="5"/>
        <w:numId w:val="1"/>
      </w:numPr>
      <w:spacing w:before="60" w:after="60"/>
      <w:outlineLvl w:val="5"/>
    </w:pPr>
    <w:rPr>
      <w:b/>
      <w:bCs/>
      <w:i/>
      <w:iCs/>
      <w:sz w:val="24"/>
      <w:szCs w:val="24"/>
    </w:rPr>
  </w:style>
  <w:style w:type="paragraph" w:styleId="Heading7">
    <w:name w:val="Heading 7"/>
    <w:basedOn w:val="Heading"/>
    <w:next w:val="TextBody"/>
    <w:qFormat/>
    <w:pPr>
      <w:numPr>
        <w:ilvl w:val="6"/>
        <w:numId w:val="1"/>
      </w:numPr>
      <w:spacing w:before="60" w:after="60"/>
      <w:outlineLvl w:val="6"/>
    </w:pPr>
    <w:rPr>
      <w:b/>
      <w:bCs/>
      <w:sz w:val="20"/>
      <w:szCs w:val="20"/>
    </w:rPr>
  </w:style>
  <w:style w:type="paragraph" w:styleId="Heading8">
    <w:name w:val="Heading 8"/>
    <w:basedOn w:val="Heading"/>
    <w:next w:val="TextBody"/>
    <w:qFormat/>
    <w:pPr>
      <w:numPr>
        <w:ilvl w:val="7"/>
        <w:numId w:val="1"/>
      </w:numPr>
      <w:spacing w:before="60" w:after="60"/>
      <w:outlineLvl w:val="7"/>
    </w:pPr>
    <w:rPr>
      <w:b/>
      <w:bCs/>
      <w:i/>
      <w:iCs/>
      <w:sz w:val="20"/>
      <w:szCs w:val="20"/>
    </w:rPr>
  </w:style>
  <w:style w:type="paragraph" w:styleId="Heading9">
    <w:name w:val="Heading 9"/>
    <w:basedOn w:val="Heading"/>
    <w:next w:val="TextBody"/>
    <w:qFormat/>
    <w:pPr>
      <w:numPr>
        <w:ilvl w:val="8"/>
        <w:numId w:val="1"/>
      </w:numPr>
      <w:spacing w:before="60" w:after="60"/>
      <w:outlineLvl w:val="8"/>
    </w:pPr>
    <w:rPr>
      <w:b/>
      <w:bCs/>
      <w:sz w:val="18"/>
      <w:szCs w:val="18"/>
    </w:rPr>
  </w:style>
  <w:style w:type="character" w:styleId="NumberingSymbols">
    <w:name w:val="Numbering Symbols"/>
    <w:qFormat/>
    <w:rPr/>
  </w:style>
  <w:style w:type="character" w:styleId="FootnoteCharacters">
    <w:name w:val="Footnote Characters"/>
    <w:qFormat/>
    <w:rPr/>
  </w:style>
  <w:style w:type="character" w:styleId="FootnoteAnchor">
    <w:name w:val="Footnote Anchor"/>
    <w:rPr>
      <w:vertAlign w:val="superscript"/>
    </w:rPr>
  </w:style>
  <w:style w:type="character" w:styleId="EndnoteAnchor">
    <w:name w:val="Endnote Anchor"/>
    <w:rPr>
      <w:vertAlign w:val="superscript"/>
    </w:rPr>
  </w:style>
  <w:style w:type="character" w:styleId="EndnoteCharacters">
    <w:name w:val="Endnote Character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StrongEmphasis">
    <w:name w:val="Strong Emphasis"/>
    <w:qFormat/>
    <w:rPr>
      <w:b/>
      <w:b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next w:val="TextBody"/>
    <w:qFormat/>
    <w:pPr>
      <w:jc w:val="center"/>
    </w:pPr>
    <w:rPr>
      <w:b/>
      <w:bCs/>
      <w:sz w:val="56"/>
      <w:szCs w:val="56"/>
    </w:rPr>
  </w:style>
  <w:style w:type="paragraph" w:styleId="Footnote">
    <w:name w:val="Footnote Text"/>
    <w:basedOn w:val="Normal"/>
    <w:pPr>
      <w:suppressLineNumbers/>
      <w:ind w:left="340" w:hanging="340"/>
    </w:pPr>
    <w:rPr>
      <w:sz w:val="20"/>
      <w:szCs w:val="20"/>
    </w:rPr>
  </w:style>
  <w:style w:type="paragraph" w:styleId="Heading10">
    <w:name w:val="Heading 10"/>
    <w:basedOn w:val="Heading"/>
    <w:next w:val="TextBody"/>
    <w:qFormat/>
    <w:pPr>
      <w:numPr>
        <w:ilvl w:val="8"/>
        <w:numId w:val="1"/>
      </w:numPr>
      <w:spacing w:before="60" w:after="60"/>
      <w:outlineLvl w:val="8"/>
    </w:pPr>
    <w:rPr>
      <w:b/>
      <w:bCs/>
      <w:sz w:val="18"/>
      <w:szCs w:val="18"/>
    </w:rPr>
  </w:style>
  <w:style w:type="paragraph" w:styleId="Figure">
    <w:name w:val="Figure"/>
    <w:basedOn w:val="Caption"/>
    <w:qFormat/>
    <w:pPr/>
    <w:rPr/>
  </w:style>
  <w:style w:type="paragraph" w:styleId="FrameContents">
    <w:name w:val="Frame Contents"/>
    <w:basedOn w:val="Normal"/>
    <w:qFormat/>
    <w:pPr/>
    <w:rPr/>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4.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238</TotalTime>
  <Application>LibreOffice/7.3.7.2$Linux_X86_64 LibreOffice_project/30$Build-2</Application>
  <AppVersion>15.0000</AppVersion>
  <Pages>6</Pages>
  <Words>740</Words>
  <Characters>4154</Characters>
  <CharactersWithSpaces>4797</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2025-07-08T13:55:52Z</dcterms:created>
  <dc:creator/>
  <dc:description/>
  <dc:language>en-AU</dc:language>
  <cp:lastModifiedBy/>
  <dcterms:modified xsi:type="dcterms:W3CDTF">2025-07-26T12:35:00Z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