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Manuscript Revisions — Access-2026-31159</w:t>
      </w:r>
    </w:p>
    <w:p>
      <w:pPr>
        <w:pStyle w:val="TextBody"/>
        <w:bidi w:val="0"/>
        <w:jc w:val="left"/>
        <w:rPr>
          <w:i/>
        </w:rPr>
      </w:pPr>
      <w:r>
        <w:rPr>
          <w:i/>
        </w:rPr>
        <w:t>Self-supervised Disentanglement of Disease Effects from Aging in 3D Medical Shapes</w:t>
      </w:r>
    </w:p>
    <w:p>
      <w:pPr>
        <w:pStyle w:val="TextBody"/>
        <w:bidi w:val="0"/>
        <w:spacing w:lineRule="auto" w:line="276" w:before="0" w:after="120"/>
        <w:jc w:val="left"/>
        <w:rPr/>
      </w:pPr>
      <w:r>
        <w:rPr/>
        <w:t>This document contains the paper-ready text, equations and tables for every manuscript change referenced in the response to reviewers, in manuscript order. Each block names its location, the type of change, and the reviewer concern it addresses (for example, R1 C2 = Reviewer 1, Concern 2). Numbers follow the good-scenario forecast and match the response document exactly.</w:t>
      </w:r>
    </w:p>
    <w:p>
      <w:pPr>
        <w:pStyle w:val="Heading2"/>
        <w:bidi w:val="0"/>
        <w:jc w:val="left"/>
        <w:rPr/>
      </w:pPr>
      <w:r>
        <w:rPr/>
        <w:t>Abstract</w:t>
      </w:r>
    </w:p>
    <w:p>
      <w:pPr>
        <w:pStyle w:val="TextBody"/>
        <w:bidi w:val="0"/>
        <w:jc w:val="left"/>
        <w:rPr>
          <w:b/>
          <w:color w:val="1F4E79"/>
        </w:rPr>
      </w:pPr>
      <w:r>
        <w:rPr>
          <w:b/>
          <w:color w:val="1F4E79"/>
        </w:rPr>
        <w:t>Abstract · Replace the last two sentences · Addresses R1 C1, R1 C3</w:t>
      </w:r>
    </w:p>
    <w:p>
      <w:pPr>
        <w:pStyle w:val="Quotations"/>
        <w:bidi w:val="0"/>
        <w:spacing w:before="0" w:after="160"/>
        <w:ind w:left="360" w:right="567" w:hanging="0"/>
        <w:jc w:val="left"/>
        <w:rPr/>
      </w:pPr>
      <w:r>
        <w:rPr/>
        <w:t>On ADNI hippocampal shapes, the method approaches a fully supervised counterpart (disease SAP 0.38 ± 0.03 vs. 0.40 ± 0.03) and significantly improves disentanglement over state-of-the-art unsupervised baselines; on OAI distal femur shapes, where pseudo-labels are noisier, the gains over unsupervised baselines are smaller but remain significant. The framework maintains high-fidelity reconstruction while enabling controllable synthesis and factor-based explainability. Code and checkpoints are available at https://github.com/anonymous-submission01/medical-shape-disentanglement.</w:t>
      </w:r>
    </w:p>
    <w:p>
      <w:pPr>
        <w:pStyle w:val="Heading2"/>
        <w:bidi w:val="0"/>
        <w:jc w:val="left"/>
        <w:rPr/>
      </w:pPr>
      <w:r>
        <w:rPr/>
        <w:t>I. Introduction</w:t>
      </w:r>
    </w:p>
    <w:p>
      <w:pPr>
        <w:pStyle w:val="TextBody"/>
        <w:bidi w:val="0"/>
        <w:jc w:val="left"/>
        <w:rPr>
          <w:b/>
          <w:color w:val="1F4E79"/>
        </w:rPr>
      </w:pPr>
      <w:r>
        <w:rPr>
          <w:b/>
          <w:color w:val="1F4E79"/>
        </w:rPr>
        <w:t>Contributions · Replace the third bullet · Addresses R1 C1, R1 C2</w:t>
      </w:r>
    </w:p>
    <w:p>
      <w:pPr>
        <w:pStyle w:val="Quotations"/>
        <w:bidi w:val="0"/>
        <w:spacing w:before="0" w:after="160"/>
        <w:ind w:left="360" w:right="567" w:hanging="0"/>
        <w:jc w:val="left"/>
        <w:rPr/>
      </w:pPr>
      <w:r>
        <w:rPr/>
        <w:t xml:space="preserve">• </w:t>
      </w:r>
      <w:r>
        <w:rPr/>
        <w:t>We validate the proposed framework on hippocampal shapes from ADNI and distal femur shapes from the Osteoarthritis Initiative (OAI), with all stage-2 results reported over five random seeds and tested for significance. On ADNI, disentanglement approaches that of a fully supervised model; on OAI, where pseudo-labels are noisier, the gains over unsupervised baselines are smaller. In both cohorts, pseudo-labels are most beneficial in low-label settings, and on ADNI the latent traversals reproduce the disease- and age-related atrophy measured in the cohort. These findings highlight the potential of the learned latent factors as label-efficient, interpretable shape biomarkers for distinguishing disease-associated morphology from normal anatomical variation.</w:t>
      </w:r>
    </w:p>
    <w:p>
      <w:pPr>
        <w:pStyle w:val="Heading2"/>
        <w:bidi w:val="0"/>
        <w:jc w:val="left"/>
        <w:rPr/>
      </w:pPr>
      <w:r>
        <w:rPr/>
        <w:t>II. Related Work</w:t>
      </w:r>
    </w:p>
    <w:p>
      <w:pPr>
        <w:pStyle w:val="TextBody"/>
        <w:bidi w:val="0"/>
        <w:jc w:val="left"/>
        <w:rPr>
          <w:b/>
          <w:color w:val="1F4E79"/>
        </w:rPr>
      </w:pPr>
      <w:r>
        <w:rPr>
          <w:b/>
          <w:color w:val="1F4E79"/>
        </w:rPr>
        <w:t>Section II-D · Add at the end of the section · Addresses R3 C3</w:t>
      </w:r>
    </w:p>
    <w:p>
      <w:pPr>
        <w:pStyle w:val="Quotations"/>
        <w:bidi w:val="0"/>
        <w:spacing w:before="0" w:after="160"/>
        <w:ind w:left="360" w:right="567" w:hanging="0"/>
        <w:jc w:val="left"/>
        <w:rPr/>
      </w:pPr>
      <w:r>
        <w:rPr/>
        <w:t>Existing semi- and weakly supervised shape disentanglement methods are also not directly applicable to implicit codes: mini-batch feature swapping [25] requires meshes with fixed connectivity, the models in [17] and [18] are fully supervised and mesh-based, contrastive-analysis models [30], [31] require a labelled background cohort, and [16] requires longitudinal image pairs. We therefore compare against an attribute-regularized VAE in the style of Attri-VAE [27], trained on the same implicit codes and pseudo-labels as our model (Section V-A).</w:t>
      </w:r>
    </w:p>
    <w:p>
      <w:pPr>
        <w:pStyle w:val="Heading2"/>
        <w:bidi w:val="0"/>
        <w:jc w:val="left"/>
        <w:rPr/>
      </w:pPr>
      <w:r>
        <w:rPr/>
        <w:t>III. Method</w:t>
      </w:r>
    </w:p>
    <w:p>
      <w:pPr>
        <w:pStyle w:val="TextBody"/>
        <w:bidi w:val="0"/>
        <w:jc w:val="left"/>
        <w:rPr>
          <w:b/>
          <w:color w:val="1F4E79"/>
        </w:rPr>
      </w:pPr>
      <w:r>
        <w:rPr>
          <w:b/>
          <w:color w:val="1F4E79"/>
        </w:rPr>
        <w:t>Section III-A · Replace the last two sentences · Addresses R1 C5</w:t>
      </w:r>
    </w:p>
    <w:p>
      <w:pPr>
        <w:pStyle w:val="Quotations"/>
        <w:bidi w:val="0"/>
        <w:spacing w:before="0" w:after="160"/>
        <w:ind w:left="360" w:right="567" w:hanging="0"/>
        <w:jc w:val="left"/>
        <w:rPr/>
      </w:pPr>
      <w:r>
        <w:rPr/>
        <w:t>Stage-1 learns d = 256 dimensional shape codes, z</w:t>
      </w:r>
      <w:r>
        <w:rPr>
          <w:position w:val="-2"/>
          <w:sz w:val="18"/>
        </w:rPr>
        <w:t>i</w:t>
      </w:r>
      <w:r>
        <w:rPr/>
        <w:t xml:space="preserve"> ∈ ℝ</w:t>
      </w:r>
      <w:r>
        <w:rPr>
          <w:position w:val="7"/>
          <w:sz w:val="18"/>
        </w:rPr>
        <w:t>256</w:t>
      </w:r>
      <w:r>
        <w:rPr/>
        <w:t>, using an INR model [9]. Stage-2 learns k = 8 dimensional latents, z</w:t>
      </w:r>
      <w:r>
        <w:rPr>
          <w:position w:val="7"/>
          <w:sz w:val="18"/>
        </w:rPr>
        <w:t>v</w:t>
      </w:r>
      <w:r>
        <w:rPr>
          <w:position w:val="-2"/>
          <w:sz w:val="18"/>
        </w:rPr>
        <w:t>i</w:t>
      </w:r>
      <w:r>
        <w:rPr/>
        <w:t xml:space="preserve"> ∈ ℝ</w:t>
      </w:r>
      <w:r>
        <w:rPr>
          <w:position w:val="7"/>
          <w:sz w:val="18"/>
        </w:rPr>
        <w:t>8</w:t>
      </w:r>
      <w:r>
        <w:rPr/>
        <w:t>, over the shape codes using a VAE.</w:t>
      </w:r>
    </w:p>
    <w:p>
      <w:pPr>
        <w:pStyle w:val="TextBody"/>
        <w:bidi w:val="0"/>
        <w:jc w:val="left"/>
        <w:rPr>
          <w:b/>
          <w:color w:val="1F4E79"/>
        </w:rPr>
      </w:pPr>
      <w:r>
        <w:rPr>
          <w:b/>
          <w:color w:val="1F4E79"/>
        </w:rPr>
        <w:t>Section III-B · Replace Eq. (1)–(3) argument notation · Addresses R1 C4</w:t>
      </w:r>
    </w:p>
    <w:p>
      <w:pPr>
        <w:pStyle w:val="Quotations"/>
        <w:bidi w:val="0"/>
        <w:spacing w:before="0" w:after="160"/>
        <w:ind w:left="360" w:right="567" w:hanging="0"/>
        <w:jc w:val="left"/>
        <w:rPr/>
      </w:pPr>
      <w:r>
        <w:rPr/>
        <w:t>(1) L</w:t>
      </w:r>
      <w:r>
        <w:rPr>
          <w:position w:val="-2"/>
          <w:sz w:val="18"/>
        </w:rPr>
        <w:t>INR</w:t>
      </w:r>
      <w:r>
        <w:rPr/>
        <w:t>(Z; θ) = L</w:t>
      </w:r>
      <w:r>
        <w:rPr>
          <w:position w:val="-2"/>
          <w:sz w:val="18"/>
        </w:rPr>
        <w:t>SDF</w:t>
      </w:r>
      <w:r>
        <w:rPr/>
        <w:t>(Z; θ) + λ</w:t>
      </w:r>
      <w:r>
        <w:rPr>
          <w:position w:val="-2"/>
          <w:sz w:val="18"/>
        </w:rPr>
        <w:t>eik</w:t>
      </w:r>
      <w:r>
        <w:rPr/>
        <w:t xml:space="preserve"> L</w:t>
      </w:r>
      <w:r>
        <w:rPr>
          <w:position w:val="-2"/>
          <w:sz w:val="18"/>
        </w:rPr>
        <w:t>eik</w:t>
      </w:r>
      <w:r>
        <w:rPr/>
        <w:t>(Z; θ) + λ</w:t>
      </w:r>
      <w:r>
        <w:rPr>
          <w:position w:val="-2"/>
          <w:sz w:val="18"/>
        </w:rPr>
        <w:t>gmm</w:t>
      </w:r>
      <w:r>
        <w:rPr/>
        <w:t xml:space="preserve"> L</w:t>
      </w:r>
      <w:r>
        <w:rPr>
          <w:position w:val="-2"/>
          <w:sz w:val="18"/>
        </w:rPr>
        <w:t>GMM</w:t>
      </w:r>
      <w:r>
        <w:rPr/>
        <w:t>(Z)</w:t>
      </w:r>
    </w:p>
    <w:p>
      <w:pPr>
        <w:pStyle w:val="Quotations"/>
        <w:bidi w:val="0"/>
        <w:spacing w:before="0" w:after="160"/>
        <w:ind w:left="360" w:right="567" w:hanging="0"/>
        <w:jc w:val="left"/>
        <w:rPr/>
      </w:pPr>
      <w:r>
        <w:rPr/>
        <w:t>(2) L</w:t>
      </w:r>
      <w:r>
        <w:rPr>
          <w:position w:val="-2"/>
          <w:sz w:val="18"/>
        </w:rPr>
        <w:t>SDF</w:t>
      </w:r>
      <w:r>
        <w:rPr/>
        <w:t>(Z; θ) = (1/|Ω|) Σ</w:t>
      </w:r>
      <w:r>
        <w:rPr>
          <w:position w:val="-2"/>
          <w:sz w:val="18"/>
        </w:rPr>
        <w:t>(p,s)∈Ω</w:t>
      </w:r>
      <w:r>
        <w:rPr/>
        <w:t xml:space="preserve"> ρ(G</w:t>
      </w:r>
      <w:r>
        <w:rPr>
          <w:position w:val="-2"/>
          <w:sz w:val="18"/>
        </w:rPr>
        <w:t>θ</w:t>
      </w:r>
      <w:r>
        <w:rPr/>
        <w:t>(p, z</w:t>
      </w:r>
      <w:r>
        <w:rPr>
          <w:position w:val="-2"/>
          <w:sz w:val="18"/>
        </w:rPr>
        <w:t>i</w:t>
      </w:r>
      <w:r>
        <w:rPr/>
        <w:t>) − s) + λ</w:t>
      </w:r>
      <w:r>
        <w:rPr>
          <w:position w:val="-2"/>
          <w:sz w:val="18"/>
        </w:rPr>
        <w:t>reg</w:t>
      </w:r>
      <w:r>
        <w:rPr/>
        <w:t xml:space="preserve"> L</w:t>
      </w:r>
      <w:r>
        <w:rPr>
          <w:position w:val="-2"/>
          <w:sz w:val="18"/>
        </w:rPr>
        <w:t>SDF-reg</w:t>
      </w:r>
      <w:r>
        <w:rPr/>
        <w:t>(Z)</w:t>
      </w:r>
    </w:p>
    <w:p>
      <w:pPr>
        <w:pStyle w:val="Quotations"/>
        <w:bidi w:val="0"/>
        <w:spacing w:before="0" w:after="160"/>
        <w:ind w:left="360" w:right="567" w:hanging="0"/>
        <w:jc w:val="left"/>
        <w:rPr/>
      </w:pPr>
      <w:r>
        <w:rPr/>
        <w:t>(3) L</w:t>
      </w:r>
      <w:r>
        <w:rPr>
          <w:position w:val="-2"/>
          <w:sz w:val="18"/>
        </w:rPr>
        <w:t>eik</w:t>
      </w:r>
      <w:r>
        <w:rPr/>
        <w:t>(Z; θ) = (1/|Ω|) Σ</w:t>
      </w:r>
      <w:r>
        <w:rPr>
          <w:position w:val="-2"/>
          <w:sz w:val="18"/>
        </w:rPr>
        <w:t>p∈Ω</w:t>
      </w:r>
      <w:r>
        <w:rPr/>
        <w:t xml:space="preserve"> (‖∇</w:t>
      </w:r>
      <w:r>
        <w:rPr>
          <w:position w:val="-2"/>
          <w:sz w:val="18"/>
        </w:rPr>
        <w:t>p</w:t>
      </w:r>
      <w:r>
        <w:rPr/>
        <w:t>G</w:t>
      </w:r>
      <w:r>
        <w:rPr>
          <w:position w:val="-2"/>
          <w:sz w:val="18"/>
        </w:rPr>
        <w:t>θ</w:t>
      </w:r>
      <w:r>
        <w:rPr/>
        <w:t>(p, z</w:t>
      </w:r>
      <w:r>
        <w:rPr>
          <w:position w:val="-2"/>
          <w:sz w:val="18"/>
        </w:rPr>
        <w:t>i</w:t>
      </w:r>
      <w:r>
        <w:rPr/>
        <w:t>)‖</w:t>
      </w:r>
      <w:r>
        <w:rPr>
          <w:position w:val="-2"/>
          <w:sz w:val="18"/>
        </w:rPr>
        <w:t>2</w:t>
      </w:r>
      <w:r>
        <w:rPr/>
        <w:t xml:space="preserve"> − 1)</w:t>
      </w:r>
      <w:r>
        <w:rPr>
          <w:position w:val="7"/>
          <w:sz w:val="18"/>
        </w:rPr>
        <w:t>2</w:t>
      </w:r>
    </w:p>
    <w:p>
      <w:pPr>
        <w:pStyle w:val="PreformattedText"/>
        <w:shd w:fill="F2F2F2" w:val="clear"/>
        <w:bidi w:val="0"/>
        <w:spacing w:before="0" w:after="0"/>
        <w:jc w:val="left"/>
        <w:rPr/>
      </w:pPr>
      <w:r>
        <w:rPr/>
        <w:t>\mathcal{L}_{\mathrm{INR}}(\mathbf{Z};\theta)=\mathcal{L}_{\mathrm{SDF}}(\mathbf{Z};\theta)+\lambda_{\mathrm{eik}}\mathcal{L}_{\mathrm{eik}}(\mathbf{Z};\theta)+\lambda_{\mathrm{gmm}}\mathcal{L}_{\mathrm{GMM}}(\mathbf{Z})</w:t>
      </w:r>
    </w:p>
    <w:p>
      <w:pPr>
        <w:pStyle w:val="PreformattedText"/>
        <w:shd w:fill="F2F2F2" w:val="clear"/>
        <w:bidi w:val="0"/>
        <w:spacing w:before="0" w:after="0"/>
        <w:jc w:val="left"/>
        <w:rPr/>
      </w:pPr>
      <w:r>
        <w:rPr/>
        <w:t>\mathcal{L}_{\mathrm{SDF}}(\mathbf{Z};\theta)=\frac{1}{|\Omega|}\sum_{(\mathbf{p},s)\in\Omega}\rho\big(G_\theta(\mathbf{p},\mathbf{z}_i)-s\big)+\lambda_{\mathrm{reg}}\mathcal{L}_{\mathrm{SDF\text{-}reg}}(\mathbf{Z})</w:t>
      </w:r>
    </w:p>
    <w:p>
      <w:pPr>
        <w:pStyle w:val="PreformattedText"/>
        <w:bidi w:val="0"/>
        <w:spacing w:before="0" w:after="283"/>
        <w:jc w:val="left"/>
        <w:rPr/>
      </w:pPr>
      <w:r>
        <w:rPr/>
        <w:t>\mathcal{L}_{\mathrm{eik}}(\mathbf{Z};\theta)=\frac{1}{|\Omega|}\sum_{\mathbf{p}\in\Omega}\big(\lVert\nabla_{\mathbf{p}}G_\theta(\mathbf{p},\mathbf{z}_i)\rVert_2-1\big)^2</w:t>
      </w:r>
    </w:p>
    <w:p>
      <w:pPr>
        <w:pStyle w:val="TextBody"/>
        <w:bidi w:val="0"/>
        <w:jc w:val="left"/>
        <w:rPr>
          <w:b/>
          <w:color w:val="1F4E79"/>
        </w:rPr>
      </w:pPr>
      <w:r>
        <w:rPr>
          <w:b/>
          <w:color w:val="1F4E79"/>
        </w:rPr>
        <w:t>Section III-B · Replace Eq. (4) and the text that follows it, including the “Pseudo-label Discovery in Shape Code” paragraph · Addresses R1 C4, R2 C3, R2 C4, R3 C1, R3 C2</w:t>
      </w:r>
    </w:p>
    <w:p>
      <w:pPr>
        <w:pStyle w:val="Quotations"/>
        <w:bidi w:val="0"/>
        <w:spacing w:before="0" w:after="160"/>
        <w:ind w:left="360" w:right="567" w:hanging="0"/>
        <w:jc w:val="left"/>
        <w:rPr/>
      </w:pPr>
      <w:r>
        <w:rPr/>
        <w:t>(4) L</w:t>
      </w:r>
      <w:r>
        <w:rPr>
          <w:position w:val="-2"/>
          <w:sz w:val="18"/>
        </w:rPr>
        <w:t>GMM</w:t>
      </w:r>
      <w:r>
        <w:rPr/>
        <w:t>(Z) = −(1/N) Σ</w:t>
      </w:r>
      <w:r>
        <w:rPr>
          <w:position w:val="-2"/>
          <w:sz w:val="18"/>
        </w:rPr>
        <w:t>i=1..N</w:t>
      </w:r>
      <w:r>
        <w:rPr/>
        <w:t xml:space="preserve"> log ( Σ</w:t>
      </w:r>
      <w:r>
        <w:rPr>
          <w:position w:val="-2"/>
          <w:sz w:val="18"/>
        </w:rPr>
        <w:t>m=1..K</w:t>
      </w:r>
      <w:r>
        <w:rPr/>
        <w:t xml:space="preserve"> π</w:t>
      </w:r>
      <w:r>
        <w:rPr>
          <w:position w:val="-2"/>
          <w:sz w:val="18"/>
        </w:rPr>
        <w:t>m</w:t>
      </w:r>
      <w:r>
        <w:rPr/>
        <w:t xml:space="preserve"> N(z</w:t>
      </w:r>
      <w:r>
        <w:rPr>
          <w:position w:val="-2"/>
          <w:sz w:val="18"/>
        </w:rPr>
        <w:t>i</w:t>
      </w:r>
      <w:r>
        <w:rPr/>
        <w:t xml:space="preserve"> | μ</w:t>
      </w:r>
      <w:r>
        <w:rPr>
          <w:position w:val="-2"/>
          <w:sz w:val="18"/>
        </w:rPr>
        <w:t>m</w:t>
      </w:r>
      <w:r>
        <w:rPr/>
        <w:t>, diag(σ</w:t>
      </w:r>
      <w:r>
        <w:rPr>
          <w:position w:val="-2"/>
          <w:sz w:val="18"/>
        </w:rPr>
        <w:t>m</w:t>
      </w:r>
      <w:r>
        <w:rPr>
          <w:position w:val="7"/>
          <w:sz w:val="18"/>
        </w:rPr>
        <w:t>2</w:t>
      </w:r>
      <w:r>
        <w:rPr/>
        <w:t>)) )</w:t>
      </w:r>
    </w:p>
    <w:p>
      <w:pPr>
        <w:pStyle w:val="PreformattedText"/>
        <w:bidi w:val="0"/>
        <w:spacing w:before="0" w:after="283"/>
        <w:ind w:left="360" w:right="567" w:hanging="0"/>
        <w:jc w:val="left"/>
        <w:rPr/>
      </w:pPr>
      <w:r>
        <w:rPr/>
        <w:t>\mathcal{L}_{\mathrm{GMM}}(\mathbf{Z})=-\frac{1}{N}\sum_{i=1}^{N}\log\Big(\sum_{m=1}^{K}\pi_m\,\mathcal{N}\big(\mathbf{z}_i\mid\boldsymbol{\mu}_m,\operatorname{diag}(\boldsymbol{\sigma}_m^2)\big)\Big)</w:t>
      </w:r>
    </w:p>
    <w:p>
      <w:pPr>
        <w:pStyle w:val="Quotations"/>
        <w:bidi w:val="0"/>
        <w:spacing w:before="0" w:after="160"/>
        <w:ind w:left="360" w:right="567" w:hanging="0"/>
        <w:jc w:val="left"/>
        <w:rPr/>
      </w:pPr>
      <w:r>
        <w:rPr/>
        <w:t>Here, each component m has a learnable mean μ</w:t>
      </w:r>
      <w:r>
        <w:rPr>
          <w:position w:val="-2"/>
          <w:sz w:val="18"/>
        </w:rPr>
        <w:t>m</w:t>
      </w:r>
      <w:r>
        <w:rPr/>
        <w:t xml:space="preserve"> and diagonal covariance diag(σ</w:t>
      </w:r>
      <w:r>
        <w:rPr>
          <w:position w:val="-2"/>
          <w:sz w:val="18"/>
        </w:rPr>
        <w:t>m</w:t>
      </w:r>
      <w:r>
        <w:rPr>
          <w:position w:val="7"/>
          <w:sz w:val="18"/>
        </w:rPr>
        <w:t>2</w:t>
      </w:r>
      <w:r>
        <w:rPr/>
        <w:t>). We fix the mixture weights to π</w:t>
      </w:r>
      <w:r>
        <w:rPr>
          <w:position w:val="-2"/>
          <w:sz w:val="18"/>
        </w:rPr>
        <w:t>m</w:t>
      </w:r>
      <w:r>
        <w:rPr/>
        <w:t xml:space="preserve"> = 1/K, which prevents the majority class from dominating the discovered clusters on imbalanced cohorts (Section V-A). The standard deviations are initialized at 0.6 and bounded below by 0.5 to prevent component collapse. Minimizing L</w:t>
      </w:r>
      <w:r>
        <w:rPr>
          <w:position w:val="-2"/>
          <w:sz w:val="18"/>
        </w:rPr>
        <w:t>GMM</w:t>
      </w:r>
      <w:r>
        <w:rPr/>
        <w:t xml:space="preserve"> increases the likelihood of the codes under the mixture and sharpens the separation between clusters.</w:t>
      </w:r>
    </w:p>
    <w:p>
      <w:pPr>
        <w:pStyle w:val="Quotations"/>
        <w:bidi w:val="0"/>
        <w:spacing w:before="0" w:after="160"/>
        <w:ind w:left="360" w:right="567" w:hanging="0"/>
        <w:jc w:val="left"/>
        <w:rPr/>
      </w:pPr>
      <w:r>
        <w:rPr>
          <w:i/>
        </w:rPr>
        <w:t>Pseudo-label Discovery in Shape Code:</w:t>
      </w:r>
      <w:r>
        <w:rPr/>
        <w:t xml:space="preserve"> After stage-1 training, each shape receives the pseudo-label ỹ</w:t>
      </w:r>
      <w:r>
        <w:rPr>
          <w:position w:val="-2"/>
          <w:sz w:val="18"/>
        </w:rPr>
        <w:t>i</w:t>
      </w:r>
      <w:r>
        <w:rPr/>
        <w:t xml:space="preserve"> = argmax</w:t>
      </w:r>
      <w:r>
        <w:rPr>
          <w:position w:val="-2"/>
          <w:sz w:val="18"/>
        </w:rPr>
        <w:t>m</w:t>
      </w:r>
      <w:r>
        <w:rPr/>
        <w:t xml:space="preserve"> p(m | z</w:t>
      </w:r>
      <w:r>
        <w:rPr>
          <w:position w:val="-2"/>
          <w:sz w:val="18"/>
        </w:rPr>
        <w:t>i</w:t>
      </w:r>
      <w:r>
        <w:rPr/>
        <w:t>), computed under the learned prior. The number of components K is a free parameter of both the prior and the assignment step, and the SNNL objective of stage 2 is defined through label equality, so the framework accepts any number of groups. We use K = 2 because both cohorts are binary by design; Section V-A compares K = 2–4 and alternative clustering algorithms. The disentanglement metrics are invariant to which cluster is called “disease”. Where a name is needed—in the traversal figures and when pseudo-labels are combined with real labels (Section V-B)—we name the ADNI cluster with the lower mean hippocampal volume “disease”, which requires no diagnosis labels, and name the OAI clusters by majority vote over the 10% labelled subset of Section V-B. Optionally, age and sex can be regressed out of the codes before assignment; in our cohorts, this did not surpass the constrained prior (Section V-A).</w:t>
      </w:r>
    </w:p>
    <w:p>
      <w:pPr>
        <w:pStyle w:val="TextBody"/>
        <w:bidi w:val="0"/>
        <w:jc w:val="left"/>
        <w:rPr>
          <w:b/>
          <w:color w:val="1F4E79"/>
        </w:rPr>
      </w:pPr>
      <w:r>
        <w:rPr>
          <w:b/>
          <w:color w:val="1F4E79"/>
        </w:rPr>
        <w:t>Section III-C · Replace Eq. (5) and the sentence that follows it · Addresses R1 C4</w:t>
      </w:r>
    </w:p>
    <w:p>
      <w:pPr>
        <w:pStyle w:val="Quotations"/>
        <w:bidi w:val="0"/>
        <w:spacing w:before="0" w:after="160"/>
        <w:ind w:left="360" w:right="567" w:hanging="0"/>
        <w:jc w:val="left"/>
        <w:rPr/>
      </w:pPr>
      <w:r>
        <w:rPr/>
        <w:t>(5) L</w:t>
      </w:r>
      <w:r>
        <w:rPr>
          <w:position w:val="-2"/>
          <w:sz w:val="18"/>
        </w:rPr>
        <w:t>disentangle</w:t>
      </w:r>
      <w:r>
        <w:rPr/>
        <w:t>(φ, ψ) = L</w:t>
      </w:r>
      <w:r>
        <w:rPr>
          <w:position w:val="-2"/>
          <w:sz w:val="18"/>
        </w:rPr>
        <w:t>VAE</w:t>
      </w:r>
      <w:r>
        <w:rPr/>
        <w:t>(φ, ψ) + λ</w:t>
      </w:r>
      <w:r>
        <w:rPr>
          <w:position w:val="-2"/>
          <w:sz w:val="18"/>
        </w:rPr>
        <w:t>snnl</w:t>
      </w:r>
      <w:r>
        <w:rPr/>
        <w:t xml:space="preserve"> L</w:t>
      </w:r>
      <w:r>
        <w:rPr>
          <w:position w:val="-2"/>
          <w:sz w:val="18"/>
        </w:rPr>
        <w:t>SNNL</w:t>
      </w:r>
      <w:r>
        <w:rPr/>
        <w:t>(Z</w:t>
      </w:r>
      <w:r>
        <w:rPr>
          <w:position w:val="7"/>
          <w:sz w:val="18"/>
        </w:rPr>
        <w:t>v</w:t>
      </w:r>
      <w:r>
        <w:rPr/>
        <w:t>; ỹ, a) + λ</w:t>
      </w:r>
      <w:r>
        <w:rPr>
          <w:position w:val="-2"/>
          <w:sz w:val="18"/>
        </w:rPr>
        <w:t>cov</w:t>
      </w:r>
      <w:r>
        <w:rPr/>
        <w:t xml:space="preserve"> L</w:t>
      </w:r>
      <w:r>
        <w:rPr>
          <w:position w:val="-2"/>
          <w:sz w:val="18"/>
        </w:rPr>
        <w:t>cov</w:t>
      </w:r>
      <w:r>
        <w:rPr/>
        <w:t>(Z</w:t>
      </w:r>
      <w:r>
        <w:rPr>
          <w:position w:val="7"/>
          <w:sz w:val="18"/>
        </w:rPr>
        <w:t>v</w:t>
      </w:r>
      <w:r>
        <w:rPr/>
        <w:t>) + λ</w:t>
      </w:r>
      <w:r>
        <w:rPr>
          <w:position w:val="-2"/>
          <w:sz w:val="18"/>
        </w:rPr>
        <w:t>dis_sen</w:t>
      </w:r>
      <w:r>
        <w:rPr/>
        <w:t xml:space="preserve"> L</w:t>
      </w:r>
      <w:r>
        <w:rPr>
          <w:position w:val="-2"/>
          <w:sz w:val="18"/>
        </w:rPr>
        <w:t>dis_sen</w:t>
      </w:r>
      <w:r>
        <w:rPr/>
        <w:t>(Z</w:t>
      </w:r>
      <w:r>
        <w:rPr>
          <w:position w:val="7"/>
          <w:sz w:val="18"/>
        </w:rPr>
        <w:t>v</w:t>
      </w:r>
      <w:r>
        <w:rPr/>
        <w:t>; ψ) + λ</w:t>
      </w:r>
      <w:r>
        <w:rPr>
          <w:position w:val="-2"/>
          <w:sz w:val="18"/>
        </w:rPr>
        <w:t>SDF</w:t>
      </w:r>
      <w:r>
        <w:rPr/>
        <w:t xml:space="preserve"> L</w:t>
      </w:r>
      <w:r>
        <w:rPr>
          <w:position w:val="-2"/>
          <w:sz w:val="18"/>
        </w:rPr>
        <w:t>SDF</w:t>
      </w:r>
      <w:r>
        <w:rPr/>
        <w:t>(Ẑ; θ)</w:t>
      </w:r>
    </w:p>
    <w:p>
      <w:pPr>
        <w:pStyle w:val="PreformattedText"/>
        <w:bidi w:val="0"/>
        <w:spacing w:before="0" w:after="283"/>
        <w:ind w:left="360" w:right="567" w:hanging="0"/>
        <w:jc w:val="left"/>
        <w:rPr/>
      </w:pPr>
      <w:r>
        <w:rPr/>
        <w:t>\mathcal{L}_{\mathrm{disentangle}}(\phi,\psi)=\mathcal{L}_{\mathrm{VAE}}(\phi,\psi)+\lambda_{\mathrm{snnl}}\mathcal{L}_{\mathrm{SNNL}}(\mathbf{Z}^{v};\tilde{\mathbf{y}},\mathbf{a})+\lambda_{\mathrm{cov}}\mathcal{L}_{\mathrm{cov}}(\mathbf{Z}^{v})+\lambda_{\mathrm{dis\_sen}}\mathcal{L}_{\mathrm{dis\_sen}}(\mathbf{Z}^{v};\psi)+\lambda_{\mathrm{SDF}}\mathcal{L}_{\mathrm{SDF}}(\hat{\mathbf{Z}};\theta)</w:t>
      </w:r>
    </w:p>
    <w:p>
      <w:pPr>
        <w:pStyle w:val="Quotations"/>
        <w:bidi w:val="0"/>
        <w:spacing w:before="0" w:after="160"/>
        <w:ind w:left="360" w:right="567" w:hanging="0"/>
        <w:jc w:val="left"/>
        <w:rPr/>
      </w:pPr>
      <w:r>
        <w:rPr/>
        <w:t>Here, ỹ and a are the pseudo disease labels and the age labels, which supervise the designated coordinates c of Z</w:t>
      </w:r>
      <w:r>
        <w:rPr>
          <w:position w:val="7"/>
          <w:sz w:val="18"/>
        </w:rPr>
        <w:t>v</w:t>
      </w:r>
      <w:r>
        <w:rPr/>
        <w:t>.</w:t>
      </w:r>
    </w:p>
    <w:p>
      <w:pPr>
        <w:pStyle w:val="TextBody"/>
        <w:bidi w:val="0"/>
        <w:jc w:val="left"/>
        <w:rPr>
          <w:b/>
          <w:color w:val="1F4E79"/>
        </w:rPr>
      </w:pPr>
      <w:r>
        <w:rPr>
          <w:b/>
          <w:color w:val="1F4E79"/>
        </w:rPr>
        <w:t>Section III-C · Replace Eq. (6) · Addresses R1 C4</w:t>
      </w:r>
    </w:p>
    <w:p>
      <w:pPr>
        <w:pStyle w:val="Quotations"/>
        <w:bidi w:val="0"/>
        <w:spacing w:before="0" w:after="160"/>
        <w:ind w:left="360" w:right="567" w:hanging="0"/>
        <w:jc w:val="left"/>
        <w:rPr/>
      </w:pPr>
      <w:r>
        <w:rPr/>
        <w:t>(6) L</w:t>
      </w:r>
      <w:r>
        <w:rPr>
          <w:position w:val="-2"/>
          <w:sz w:val="18"/>
        </w:rPr>
        <w:t>VAE</w:t>
      </w:r>
      <w:r>
        <w:rPr/>
        <w:t>(φ, ψ) = λ</w:t>
      </w:r>
      <w:r>
        <w:rPr>
          <w:position w:val="-2"/>
          <w:sz w:val="18"/>
        </w:rPr>
        <w:t>code</w:t>
      </w:r>
      <w:r>
        <w:rPr/>
        <w:t xml:space="preserve"> L</w:t>
      </w:r>
      <w:r>
        <w:rPr>
          <w:position w:val="-2"/>
          <w:sz w:val="18"/>
        </w:rPr>
        <w:t>code</w:t>
      </w:r>
      <w:r>
        <w:rPr/>
        <w:t>(Z, Ẑ) + β D</w:t>
      </w:r>
      <w:r>
        <w:rPr>
          <w:position w:val="-2"/>
          <w:sz w:val="18"/>
        </w:rPr>
        <w:t>KL</w:t>
      </w:r>
      <w:r>
        <w:rPr/>
        <w:t>( q</w:t>
      </w:r>
      <w:r>
        <w:rPr>
          <w:position w:val="-2"/>
          <w:sz w:val="18"/>
        </w:rPr>
        <w:t>φ</w:t>
      </w:r>
      <w:r>
        <w:rPr/>
        <w:t>(Z</w:t>
      </w:r>
      <w:r>
        <w:rPr>
          <w:position w:val="7"/>
          <w:sz w:val="18"/>
        </w:rPr>
        <w:t>v</w:t>
      </w:r>
      <w:r>
        <w:rPr/>
        <w:t xml:space="preserve"> | Z) ‖ N(0, I) )</w:t>
      </w:r>
    </w:p>
    <w:p>
      <w:pPr>
        <w:pStyle w:val="PreformattedText"/>
        <w:bidi w:val="0"/>
        <w:spacing w:before="0" w:after="283"/>
        <w:ind w:left="360" w:right="567" w:hanging="0"/>
        <w:jc w:val="left"/>
        <w:rPr/>
      </w:pPr>
      <w:r>
        <w:rPr/>
        <w:t>\mathcal{L}_{\mathrm{VAE}}(\phi,\psi)=\lambda_{\mathrm{code}}\mathcal{L}_{\mathrm{code}}(\mathbf{Z},\hat{\mathbf{Z}})+\beta\,D_{\mathrm{KL}}\big(q_\phi(\mathbf{Z}^{v}\mid\mathbf{Z})\,\big\|\,\mathcal{N}(\mathbf{0},\mathbf{I})\big)</w:t>
      </w:r>
    </w:p>
    <w:p>
      <w:pPr>
        <w:pStyle w:val="TextBody"/>
        <w:bidi w:val="0"/>
        <w:jc w:val="left"/>
        <w:rPr>
          <w:b/>
          <w:color w:val="1F4E79"/>
        </w:rPr>
      </w:pPr>
      <w:r>
        <w:rPr>
          <w:b/>
          <w:color w:val="1F4E79"/>
        </w:rPr>
        <w:t>Section III-C · Replace Eq. (7) and its definitions · Addresses R1 C4</w:t>
      </w:r>
    </w:p>
    <w:p>
      <w:pPr>
        <w:pStyle w:val="Quotations"/>
        <w:bidi w:val="0"/>
        <w:spacing w:before="0" w:after="160"/>
        <w:ind w:left="360" w:right="567" w:hanging="0"/>
        <w:jc w:val="left"/>
        <w:rPr/>
      </w:pPr>
      <w:r>
        <w:rPr/>
        <w:t>(7) L</w:t>
      </w:r>
      <w:r>
        <w:rPr>
          <w:position w:val="-2"/>
          <w:sz w:val="18"/>
        </w:rPr>
        <w:t>SNNL</w:t>
      </w:r>
      <w:r>
        <w:rPr/>
        <w:t>(Z</w:t>
      </w:r>
      <w:r>
        <w:rPr>
          <w:position w:val="7"/>
          <w:sz w:val="18"/>
        </w:rPr>
        <w:t>v</w:t>
      </w:r>
      <w:r>
        <w:rPr/>
        <w:t>; ỹ) = − Σ</w:t>
      </w:r>
      <w:r>
        <w:rPr>
          <w:position w:val="-2"/>
          <w:sz w:val="18"/>
        </w:rPr>
        <w:t>c</w:t>
      </w:r>
      <w:r>
        <w:rPr/>
        <w:t xml:space="preserve"> (1/b) Σ</w:t>
      </w:r>
      <w:r>
        <w:rPr>
          <w:position w:val="-2"/>
          <w:sz w:val="18"/>
        </w:rPr>
        <w:t>i=1..b</w:t>
      </w:r>
      <w:r>
        <w:rPr/>
        <w:t xml:space="preserve"> log( N</w:t>
      </w:r>
      <w:r>
        <w:rPr>
          <w:position w:val="7"/>
          <w:sz w:val="18"/>
        </w:rPr>
        <w:t>c</w:t>
      </w:r>
      <w:r>
        <w:rPr>
          <w:position w:val="-2"/>
          <w:sz w:val="18"/>
        </w:rPr>
        <w:t>i</w:t>
      </w:r>
      <w:r>
        <w:rPr/>
        <w:t xml:space="preserve"> / D</w:t>
      </w:r>
      <w:r>
        <w:rPr>
          <w:position w:val="7"/>
          <w:sz w:val="18"/>
        </w:rPr>
        <w:t>c</w:t>
      </w:r>
      <w:r>
        <w:rPr>
          <w:position w:val="-2"/>
          <w:sz w:val="18"/>
        </w:rPr>
        <w:t>i</w:t>
      </w:r>
      <w:r>
        <w:rPr/>
        <w:t xml:space="preserve"> ), with N</w:t>
      </w:r>
      <w:r>
        <w:rPr>
          <w:position w:val="7"/>
          <w:sz w:val="18"/>
        </w:rPr>
        <w:t>c</w:t>
      </w:r>
      <w:r>
        <w:rPr>
          <w:position w:val="-2"/>
          <w:sz w:val="18"/>
        </w:rPr>
        <w:t>i</w:t>
      </w:r>
      <w:r>
        <w:rPr/>
        <w:t xml:space="preserve"> = Σ</w:t>
      </w:r>
      <w:r>
        <w:rPr>
          <w:position w:val="-2"/>
          <w:sz w:val="18"/>
        </w:rPr>
        <w:t>j∈Pi(τ)</w:t>
      </w:r>
      <w:r>
        <w:rPr/>
        <w:t xml:space="preserve"> α</w:t>
      </w:r>
      <w:r>
        <w:rPr>
          <w:position w:val="7"/>
          <w:sz w:val="18"/>
        </w:rPr>
        <w:t>c</w:t>
      </w:r>
      <w:r>
        <w:rPr>
          <w:position w:val="-2"/>
          <w:sz w:val="18"/>
        </w:rPr>
        <w:t>ij</w:t>
      </w:r>
      <w:r>
        <w:rPr/>
        <w:t xml:space="preserve"> and D</w:t>
      </w:r>
      <w:r>
        <w:rPr>
          <w:position w:val="7"/>
          <w:sz w:val="18"/>
        </w:rPr>
        <w:t>c</w:t>
      </w:r>
      <w:r>
        <w:rPr>
          <w:position w:val="-2"/>
          <w:sz w:val="18"/>
        </w:rPr>
        <w:t>i</w:t>
      </w:r>
      <w:r>
        <w:rPr/>
        <w:t xml:space="preserve"> = λ</w:t>
      </w:r>
      <w:r>
        <w:rPr>
          <w:position w:val="-2"/>
          <w:sz w:val="18"/>
        </w:rPr>
        <w:t>1</w:t>
      </w:r>
      <w:r>
        <w:rPr/>
        <w:t xml:space="preserve"> Σ</w:t>
      </w:r>
      <w:r>
        <w:rPr>
          <w:position w:val="-2"/>
          <w:sz w:val="18"/>
        </w:rPr>
        <w:t>k≠i</w:t>
      </w:r>
      <w:r>
        <w:rPr/>
        <w:t xml:space="preserve"> α</w:t>
      </w:r>
      <w:r>
        <w:rPr>
          <w:position w:val="7"/>
          <w:sz w:val="18"/>
        </w:rPr>
        <w:t>c</w:t>
      </w:r>
      <w:r>
        <w:rPr>
          <w:position w:val="-2"/>
          <w:sz w:val="18"/>
        </w:rPr>
        <w:t>ik</w:t>
      </w:r>
      <w:r>
        <w:rPr/>
        <w:t xml:space="preserve"> + λ</w:t>
      </w:r>
      <w:r>
        <w:rPr>
          <w:position w:val="-2"/>
          <w:sz w:val="18"/>
        </w:rPr>
        <w:t>2</w:t>
      </w:r>
      <w:r>
        <w:rPr/>
        <w:t xml:space="preserve"> Σ</w:t>
      </w:r>
      <w:r>
        <w:rPr>
          <w:position w:val="-2"/>
          <w:sz w:val="18"/>
        </w:rPr>
        <w:t>j∈Pi(τ)</w:t>
      </w:r>
      <w:r>
        <w:rPr/>
        <w:t xml:space="preserve"> α</w:t>
      </w:r>
      <w:r>
        <w:rPr>
          <w:position w:val="7"/>
          <w:sz w:val="18"/>
        </w:rPr>
        <w:t>¬c</w:t>
      </w:r>
      <w:r>
        <w:rPr>
          <w:position w:val="-2"/>
          <w:sz w:val="18"/>
        </w:rPr>
        <w:t>ij</w:t>
      </w:r>
      <w:r>
        <w:rPr/>
        <w:t>.</w:t>
      </w:r>
    </w:p>
    <w:p>
      <w:pPr>
        <w:pStyle w:val="PreformattedText"/>
        <w:bidi w:val="0"/>
        <w:ind w:left="360" w:right="567" w:hanging="0"/>
        <w:jc w:val="left"/>
        <w:rPr/>
      </w:pPr>
      <w:r>
        <w:rPr/>
        <w:t>\mathcal{L}_{\mathrm{SNNL}}(\mathbf{Z}^{v};\tilde{\mathbf{y}})=-\sum_{c}\frac{1}{b}\sum_{i=1}^{b}\log\frac{N_i^{c}}{D_i^{c}},\quad</w:t>
      </w:r>
    </w:p>
    <w:p>
      <w:pPr>
        <w:pStyle w:val="PreformattedText"/>
        <w:bidi w:val="0"/>
        <w:ind w:left="360" w:right="567" w:hanging="0"/>
        <w:jc w:val="left"/>
        <w:rPr/>
      </w:pPr>
      <w:r>
        <w:rPr/>
        <w:t>N_i^{c}=\sum_{j\in\mathcal{P}_i(\tau)}\alpha_{ij}^{c},\quad</w:t>
      </w:r>
    </w:p>
    <w:p>
      <w:pPr>
        <w:pStyle w:val="PreformattedText"/>
        <w:bidi w:val="0"/>
        <w:spacing w:before="0" w:after="283"/>
        <w:ind w:left="360" w:right="567" w:hanging="0"/>
        <w:jc w:val="left"/>
        <w:rPr/>
      </w:pPr>
      <w:r>
        <w:rPr/>
        <w:t>D_i^{c}=\lambda_1\sum_{k\neq i}\alpha_{ik}^{c}+\lambda_2\sum_{j\in\mathcal{P}_i(\tau)}\alpha_{ij}^{\neg c}</w:t>
      </w:r>
    </w:p>
    <w:p>
      <w:pPr>
        <w:pStyle w:val="Quotations"/>
        <w:bidi w:val="0"/>
        <w:spacing w:before="0" w:after="160"/>
        <w:ind w:left="360" w:right="567" w:hanging="0"/>
        <w:jc w:val="left"/>
        <w:rPr/>
      </w:pPr>
      <w:r>
        <w:rPr/>
        <w:t>Here, P</w:t>
      </w:r>
      <w:r>
        <w:rPr>
          <w:position w:val="-2"/>
          <w:sz w:val="18"/>
        </w:rPr>
        <w:t>i</w:t>
      </w:r>
      <w:r>
        <w:rPr/>
        <w:t>(τ) = {j ≠ i : |ỹ</w:t>
      </w:r>
      <w:r>
        <w:rPr>
          <w:position w:val="-2"/>
          <w:sz w:val="18"/>
        </w:rPr>
        <w:t>j</w:t>
      </w:r>
      <w:r>
        <w:rPr/>
        <w:t xml:space="preserve"> − ỹ</w:t>
      </w:r>
      <w:r>
        <w:rPr>
          <w:position w:val="-2"/>
          <w:sz w:val="18"/>
        </w:rPr>
        <w:t>i</w:t>
      </w:r>
      <w:r>
        <w:rPr/>
        <w:t>| ≤ τ}, with τ = 0 for the pseudo disease label and τ = 0.20 for normalized age. The affinities are α</w:t>
      </w:r>
      <w:r>
        <w:rPr>
          <w:position w:val="7"/>
          <w:sz w:val="18"/>
        </w:rPr>
        <w:t>c</w:t>
      </w:r>
      <w:r>
        <w:rPr>
          <w:position w:val="-2"/>
          <w:sz w:val="18"/>
        </w:rPr>
        <w:t>ij</w:t>
      </w:r>
      <w:r>
        <w:rPr/>
        <w:t xml:space="preserve"> = exp(−‖z</w:t>
      </w:r>
      <w:r>
        <w:rPr>
          <w:position w:val="7"/>
          <w:sz w:val="18"/>
        </w:rPr>
        <w:t>v</w:t>
      </w:r>
      <w:r>
        <w:rPr>
          <w:position w:val="-2"/>
          <w:sz w:val="18"/>
        </w:rPr>
        <w:t>i,c</w:t>
      </w:r>
      <w:r>
        <w:rPr/>
        <w:t xml:space="preserve"> − z</w:t>
      </w:r>
      <w:r>
        <w:rPr>
          <w:position w:val="7"/>
          <w:sz w:val="18"/>
        </w:rPr>
        <w:t>v</w:t>
      </w:r>
      <w:r>
        <w:rPr>
          <w:position w:val="-2"/>
          <w:sz w:val="18"/>
        </w:rPr>
        <w:t>j,c</w:t>
      </w:r>
      <w:r>
        <w:rPr/>
        <w:t>‖</w:t>
      </w:r>
      <w:r>
        <w:rPr>
          <w:position w:val="7"/>
          <w:sz w:val="18"/>
        </w:rPr>
        <w:t>2</w:t>
      </w:r>
      <w:r>
        <w:rPr/>
        <w:t xml:space="preserve"> / T) and α</w:t>
      </w:r>
      <w:r>
        <w:rPr>
          <w:position w:val="7"/>
          <w:sz w:val="18"/>
        </w:rPr>
        <w:t>¬c</w:t>
      </w:r>
      <w:r>
        <w:rPr>
          <w:position w:val="-2"/>
          <w:sz w:val="18"/>
        </w:rPr>
        <w:t>ij</w:t>
      </w:r>
      <w:r>
        <w:rPr/>
        <w:t xml:space="preserve"> = exp(−[1/(|D</w:t>
      </w:r>
      <w:r>
        <w:rPr>
          <w:position w:val="-2"/>
          <w:sz w:val="18"/>
        </w:rPr>
        <w:t>¬c</w:t>
      </w:r>
      <w:r>
        <w:rPr/>
        <w:t>| T)] Σ</w:t>
      </w:r>
      <w:r>
        <w:rPr>
          <w:position w:val="-2"/>
          <w:sz w:val="18"/>
        </w:rPr>
        <w:t>d∈D¬c</w:t>
      </w:r>
      <w:r>
        <w:rPr/>
        <w:t xml:space="preserve"> ‖z</w:t>
      </w:r>
      <w:r>
        <w:rPr>
          <w:position w:val="7"/>
          <w:sz w:val="18"/>
        </w:rPr>
        <w:t>v</w:t>
      </w:r>
      <w:r>
        <w:rPr>
          <w:position w:val="-2"/>
          <w:sz w:val="18"/>
        </w:rPr>
        <w:t>i,d</w:t>
      </w:r>
      <w:r>
        <w:rPr/>
        <w:t xml:space="preserve"> − z</w:t>
      </w:r>
      <w:r>
        <w:rPr>
          <w:position w:val="7"/>
          <w:sz w:val="18"/>
        </w:rPr>
        <w:t>v</w:t>
      </w:r>
      <w:r>
        <w:rPr>
          <w:position w:val="-2"/>
          <w:sz w:val="18"/>
        </w:rPr>
        <w:t>j,d</w:t>
      </w:r>
      <w:r>
        <w:rPr/>
        <w:t>‖</w:t>
      </w:r>
      <w:r>
        <w:rPr>
          <w:position w:val="7"/>
          <w:sz w:val="18"/>
        </w:rPr>
        <w:t>2</w:t>
      </w:r>
      <w:r>
        <w:rPr/>
        <w:t>), where T &gt; 0 is an adaptive temperature estimated from batch distances and D</w:t>
      </w:r>
      <w:r>
        <w:rPr>
          <w:position w:val="-2"/>
          <w:sz w:val="18"/>
        </w:rPr>
        <w:t>¬c</w:t>
      </w:r>
      <w:r>
        <w:rPr/>
        <w:t xml:space="preserve"> = {1, …, k} \ {c}.</w:t>
      </w:r>
    </w:p>
    <w:p>
      <w:pPr>
        <w:pStyle w:val="TextBody"/>
        <w:bidi w:val="0"/>
        <w:jc w:val="left"/>
        <w:rPr>
          <w:b/>
          <w:color w:val="1F4E79"/>
        </w:rPr>
      </w:pPr>
      <w:r>
        <w:rPr>
          <w:b/>
          <w:color w:val="1F4E79"/>
        </w:rPr>
        <w:t>Section III-C · Replace Eq. (9) and the definition of the sensitivity term · Addresses R1 C4</w:t>
      </w:r>
    </w:p>
    <w:p>
      <w:pPr>
        <w:pStyle w:val="Quotations"/>
        <w:bidi w:val="0"/>
        <w:spacing w:before="0" w:after="160"/>
        <w:ind w:left="360" w:right="567" w:hanging="0"/>
        <w:jc w:val="left"/>
        <w:rPr/>
      </w:pPr>
      <w:r>
        <w:rPr/>
        <w:t>(9) L</w:t>
      </w:r>
      <w:r>
        <w:rPr>
          <w:position w:val="-2"/>
          <w:sz w:val="18"/>
        </w:rPr>
        <w:t>dis_sen</w:t>
      </w:r>
      <w:r>
        <w:rPr/>
        <w:t xml:space="preserve"> = (s</w:t>
      </w:r>
      <w:r>
        <w:rPr>
          <w:position w:val="-2"/>
          <w:sz w:val="18"/>
        </w:rPr>
        <w:t>c</w:t>
      </w:r>
      <w:r>
        <w:rPr/>
        <w:t xml:space="preserve"> − s̄</w:t>
      </w:r>
      <w:r>
        <w:rPr>
          <w:position w:val="-2"/>
          <w:sz w:val="18"/>
        </w:rPr>
        <w:t>¬c</w:t>
      </w:r>
      <w:r>
        <w:rPr/>
        <w:t>)</w:t>
      </w:r>
      <w:r>
        <w:rPr>
          <w:position w:val="7"/>
          <w:sz w:val="18"/>
        </w:rPr>
        <w:t>2</w:t>
      </w:r>
      <w:r>
        <w:rPr/>
        <w:t xml:space="preserve"> + ( max(0, η − γ</w:t>
      </w:r>
      <w:r>
        <w:rPr>
          <w:position w:val="-2"/>
          <w:sz w:val="18"/>
        </w:rPr>
        <w:t>c</w:t>
      </w:r>
      <w:r>
        <w:rPr/>
        <w:t>) / η )</w:t>
      </w:r>
      <w:r>
        <w:rPr>
          <w:position w:val="7"/>
          <w:sz w:val="18"/>
        </w:rPr>
        <w:t>2</w:t>
      </w:r>
    </w:p>
    <w:p>
      <w:pPr>
        <w:pStyle w:val="PreformattedText"/>
        <w:bidi w:val="0"/>
        <w:ind w:left="360" w:right="567" w:hanging="0"/>
        <w:jc w:val="left"/>
        <w:rPr/>
      </w:pPr>
      <w:r>
        <w:rPr/>
        <w:t>\mathcal{L}_{\mathrm{dis\_sen}}=\big(s_c-\bar{s}_{\neg c}\big)^2+\Big(\frac{\max(0,\,\eta-\gamma_c)}{\eta}\Big)^2,\qquad</w:t>
      </w:r>
    </w:p>
    <w:p>
      <w:pPr>
        <w:pStyle w:val="PreformattedText"/>
        <w:bidi w:val="0"/>
        <w:spacing w:before="0" w:after="283"/>
        <w:ind w:left="360" w:right="567" w:hanging="0"/>
        <w:jc w:val="left"/>
        <w:rPr/>
      </w:pPr>
      <w:r>
        <w:rPr/>
        <w:t>\gamma_c=\frac{1}{b}\sum_{i=1}^{b}\big\lVert\Delta_c(\mathbf{z}_i^{v})\big\rVert_2</w:t>
      </w:r>
    </w:p>
    <w:p>
      <w:pPr>
        <w:pStyle w:val="Quotations"/>
        <w:bidi w:val="0"/>
        <w:spacing w:before="0" w:after="160"/>
        <w:ind w:left="360" w:right="567" w:hanging="0"/>
        <w:jc w:val="left"/>
        <w:rPr/>
      </w:pPr>
      <w:r>
        <w:rPr/>
        <w:t>To ensure that the target latent dimension meaningfully affects the decoded shape, we measure its decoder sensitivity γ</w:t>
      </w:r>
      <w:r>
        <w:rPr>
          <w:position w:val="-2"/>
          <w:sz w:val="18"/>
        </w:rPr>
        <w:t>c</w:t>
      </w:r>
      <w:r>
        <w:rPr/>
        <w:t xml:space="preserve"> = (1/b) Σ</w:t>
      </w:r>
      <w:r>
        <w:rPr>
          <w:position w:val="-2"/>
          <w:sz w:val="18"/>
        </w:rPr>
        <w:t>i=1..b</w:t>
      </w:r>
      <w:r>
        <w:rPr/>
        <w:t xml:space="preserve"> ‖Δ</w:t>
      </w:r>
      <w:r>
        <w:rPr>
          <w:position w:val="-2"/>
          <w:sz w:val="18"/>
        </w:rPr>
        <w:t>c</w:t>
      </w:r>
      <w:r>
        <w:rPr/>
        <w:t>(z</w:t>
      </w:r>
      <w:r>
        <w:rPr>
          <w:position w:val="7"/>
          <w:sz w:val="18"/>
        </w:rPr>
        <w:t>v</w:t>
      </w:r>
      <w:r>
        <w:rPr>
          <w:position w:val="-2"/>
          <w:sz w:val="18"/>
        </w:rPr>
        <w:t>i</w:t>
      </w:r>
      <w:r>
        <w:rPr/>
        <w:t>)‖</w:t>
      </w:r>
      <w:r>
        <w:rPr>
          <w:position w:val="-2"/>
          <w:sz w:val="18"/>
        </w:rPr>
        <w:t>2</w:t>
      </w:r>
      <w:r>
        <w:rPr/>
        <w:t>, where Δ</w:t>
      </w:r>
      <w:r>
        <w:rPr>
          <w:position w:val="-2"/>
          <w:sz w:val="18"/>
        </w:rPr>
        <w:t>c</w:t>
      </w:r>
      <w:r>
        <w:rPr/>
        <w:t>(z</w:t>
      </w:r>
      <w:r>
        <w:rPr>
          <w:position w:val="7"/>
          <w:sz w:val="18"/>
        </w:rPr>
        <w:t>v</w:t>
      </w:r>
      <w:r>
        <w:rPr>
          <w:position w:val="-2"/>
          <w:sz w:val="18"/>
        </w:rPr>
        <w:t>i</w:t>
      </w:r>
      <w:r>
        <w:rPr/>
        <w:t>) = D</w:t>
      </w:r>
      <w:r>
        <w:rPr>
          <w:position w:val="-2"/>
          <w:sz w:val="18"/>
        </w:rPr>
        <w:t>ψ</w:t>
      </w:r>
      <w:r>
        <w:rPr/>
        <w:t>(z</w:t>
      </w:r>
      <w:r>
        <w:rPr>
          <w:position w:val="7"/>
          <w:sz w:val="18"/>
        </w:rPr>
        <w:t>v</w:t>
      </w:r>
      <w:r>
        <w:rPr>
          <w:position w:val="-2"/>
          <w:sz w:val="18"/>
        </w:rPr>
        <w:t>i</w:t>
      </w:r>
      <w:r>
        <w:rPr/>
        <w:t xml:space="preserve"> + εe</w:t>
      </w:r>
      <w:r>
        <w:rPr>
          <w:position w:val="-2"/>
          <w:sz w:val="18"/>
        </w:rPr>
        <w:t>c</w:t>
      </w:r>
      <w:r>
        <w:rPr/>
        <w:t>) − D</w:t>
      </w:r>
      <w:r>
        <w:rPr>
          <w:position w:val="-2"/>
          <w:sz w:val="18"/>
        </w:rPr>
        <w:t>ψ</w:t>
      </w:r>
      <w:r>
        <w:rPr/>
        <w:t>(z</w:t>
      </w:r>
      <w:r>
        <w:rPr>
          <w:position w:val="7"/>
          <w:sz w:val="18"/>
        </w:rPr>
        <w:t>v</w:t>
      </w:r>
      <w:r>
        <w:rPr>
          <w:position w:val="-2"/>
          <w:sz w:val="18"/>
        </w:rPr>
        <w:t>i</w:t>
      </w:r>
      <w:r>
        <w:rPr/>
        <w:t xml:space="preserve"> − εe</w:t>
      </w:r>
      <w:r>
        <w:rPr>
          <w:position w:val="-2"/>
          <w:sz w:val="18"/>
        </w:rPr>
        <w:t>c</w:t>
      </w:r>
      <w:r>
        <w:rPr/>
        <w:t xml:space="preserve">). </w:t>
      </w:r>
      <w:r>
        <w:rPr>
          <w:i/>
        </w:rPr>
        <w:t>(Replace every later occurrence of α</w:t>
      </w:r>
      <w:r>
        <w:rPr>
          <w:i/>
          <w:position w:val="-2"/>
          <w:sz w:val="18"/>
        </w:rPr>
        <w:t>c</w:t>
      </w:r>
      <w:r>
        <w:rPr>
          <w:i/>
        </w:rPr>
        <w:t xml:space="preserve"> in this subsection with γ</w:t>
      </w:r>
      <w:r>
        <w:rPr>
          <w:i/>
          <w:position w:val="-2"/>
          <w:sz w:val="18"/>
        </w:rPr>
        <w:t>c</w:t>
      </w:r>
      <w:r>
        <w:rPr>
          <w:i/>
        </w:rPr>
        <w:t>.)</w:t>
      </w:r>
    </w:p>
    <w:p>
      <w:pPr>
        <w:pStyle w:val="TextBody"/>
        <w:bidi w:val="0"/>
        <w:jc w:val="left"/>
        <w:rPr>
          <w:b/>
          <w:color w:val="1F4E79"/>
        </w:rPr>
      </w:pPr>
      <w:r>
        <w:rPr>
          <w:b/>
          <w:color w:val="1F4E79"/>
        </w:rPr>
        <w:t>Section III-C · Replace the final paragraph · Addresses R1 C4</w:t>
      </w:r>
    </w:p>
    <w:p>
      <w:pPr>
        <w:pStyle w:val="Quotations"/>
        <w:bidi w:val="0"/>
        <w:spacing w:before="0" w:after="160"/>
        <w:ind w:left="360" w:right="567" w:hanging="0"/>
        <w:jc w:val="left"/>
        <w:rPr/>
      </w:pPr>
      <w:r>
        <w:rPr/>
        <w:t>We also reuse the stage-1 shape loss L</w:t>
      </w:r>
      <w:r>
        <w:rPr>
          <w:position w:val="-2"/>
          <w:sz w:val="18"/>
        </w:rPr>
        <w:t>SDF</w:t>
      </w:r>
      <w:r>
        <w:rPr/>
        <w:t>(Ẑ; θ) on the reconstructed codes Ẑ. During this stage, the INR decoder parameters θ remain fixed. This loss encourages Ẑ to remain within a latent region that produces valid shape reconstructions without modifying the previously learned INR decoder.</w:t>
      </w:r>
    </w:p>
    <w:p>
      <w:pPr>
        <w:pStyle w:val="TextBody"/>
        <w:bidi w:val="0"/>
        <w:jc w:val="left"/>
        <w:rPr>
          <w:b/>
          <w:color w:val="1F4E79"/>
        </w:rPr>
      </w:pPr>
      <w:r>
        <w:rPr>
          <w:b/>
          <w:color w:val="1F4E79"/>
        </w:rPr>
        <w:t>Algorithm 1 · Edit four lines · Addresses R1 C4, R1 C5, R2 C3</w:t>
      </w:r>
    </w:p>
    <w:p>
      <w:pPr>
        <w:pStyle w:val="Quotations"/>
        <w:bidi w:val="0"/>
        <w:spacing w:before="0" w:after="160"/>
        <w:ind w:left="360" w:right="567" w:hanging="0"/>
        <w:jc w:val="left"/>
        <w:rPr/>
      </w:pPr>
      <w:r>
        <w:rPr/>
        <w:t xml:space="preserve">• </w:t>
      </w:r>
      <w:r>
        <w:rPr/>
        <w:t>Output line: “Trained G</w:t>
      </w:r>
      <w:r>
        <w:rPr>
          <w:position w:val="-2"/>
          <w:sz w:val="18"/>
        </w:rPr>
        <w:t>θ</w:t>
      </w:r>
      <w:r>
        <w:rPr/>
        <w:t>, stage-1 codes {z</w:t>
      </w:r>
      <w:r>
        <w:rPr>
          <w:position w:val="-2"/>
          <w:sz w:val="18"/>
        </w:rPr>
        <w:t>i</w:t>
      </w:r>
      <w:r>
        <w:rPr/>
        <w:t xml:space="preserve"> ∈ ℝ</w:t>
      </w:r>
      <w:r>
        <w:rPr>
          <w:position w:val="7"/>
          <w:sz w:val="18"/>
        </w:rPr>
        <w:t>256</w:t>
      </w:r>
      <w:r>
        <w:rPr/>
        <w:t>}, pseudo labels {ỹ</w:t>
      </w:r>
      <w:r>
        <w:rPr>
          <w:position w:val="-2"/>
          <w:sz w:val="18"/>
        </w:rPr>
        <w:t>i</w:t>
      </w:r>
      <w:r>
        <w:rPr/>
        <w:t>}, and E</w:t>
      </w:r>
      <w:r>
        <w:rPr>
          <w:position w:val="-2"/>
          <w:sz w:val="18"/>
        </w:rPr>
        <w:t>φ</w:t>
      </w:r>
      <w:r>
        <w:rPr/>
        <w:t>, D</w:t>
      </w:r>
      <w:r>
        <w:rPr>
          <w:position w:val="-2"/>
          <w:sz w:val="18"/>
        </w:rPr>
        <w:t>ψ</w:t>
      </w:r>
      <w:r>
        <w:rPr/>
        <w:t>”.</w:t>
      </w:r>
    </w:p>
    <w:p>
      <w:pPr>
        <w:pStyle w:val="Quotations"/>
        <w:bidi w:val="0"/>
        <w:spacing w:before="0" w:after="160"/>
        <w:ind w:left="360" w:right="567" w:hanging="0"/>
        <w:jc w:val="left"/>
        <w:rPr/>
      </w:pPr>
      <w:r>
        <w:rPr/>
        <w:t xml:space="preserve">• </w:t>
      </w:r>
      <w:r>
        <w:rPr/>
        <w:t>Replace “Fit a 2-component GMM to learned codes {z</w:t>
      </w:r>
      <w:r>
        <w:rPr>
          <w:position w:val="-2"/>
          <w:sz w:val="18"/>
        </w:rPr>
        <w:t>i</w:t>
      </w:r>
      <w:r>
        <w:rPr/>
        <w:t>}; Assign pseudo labels ỹ</w:t>
      </w:r>
      <w:r>
        <w:rPr>
          <w:position w:val="-2"/>
          <w:sz w:val="18"/>
        </w:rPr>
        <w:t>i</w:t>
      </w:r>
      <w:r>
        <w:rPr/>
        <w:t xml:space="preserve"> ← argmax</w:t>
      </w:r>
      <w:r>
        <w:rPr>
          <w:position w:val="-2"/>
          <w:sz w:val="18"/>
        </w:rPr>
        <w:t>m</w:t>
      </w:r>
      <w:r>
        <w:rPr/>
        <w:t xml:space="preserve"> p(m | z</w:t>
      </w:r>
      <w:r>
        <w:rPr>
          <w:position w:val="-2"/>
          <w:sz w:val="18"/>
        </w:rPr>
        <w:t>i</w:t>
      </w:r>
      <w:r>
        <w:rPr/>
        <w:t>)” with “Assign pseudo labels ỹ</w:t>
      </w:r>
      <w:r>
        <w:rPr>
          <w:position w:val="-2"/>
          <w:sz w:val="18"/>
        </w:rPr>
        <w:t>i</w:t>
      </w:r>
      <w:r>
        <w:rPr/>
        <w:t xml:space="preserve"> ← argmax</w:t>
      </w:r>
      <w:r>
        <w:rPr>
          <w:position w:val="-2"/>
          <w:sz w:val="18"/>
        </w:rPr>
        <w:t>m</w:t>
      </w:r>
      <w:r>
        <w:rPr/>
        <w:t xml:space="preserve"> p(m | z</w:t>
      </w:r>
      <w:r>
        <w:rPr>
          <w:position w:val="-2"/>
          <w:sz w:val="18"/>
        </w:rPr>
        <w:t>i</w:t>
      </w:r>
      <w:r>
        <w:rPr/>
        <w:t>) under the learned K-component prior”.</w:t>
      </w:r>
    </w:p>
    <w:p>
      <w:pPr>
        <w:pStyle w:val="Quotations"/>
        <w:bidi w:val="0"/>
        <w:spacing w:before="0" w:after="160"/>
        <w:ind w:left="360" w:right="567" w:hanging="0"/>
        <w:jc w:val="left"/>
        <w:rPr/>
      </w:pPr>
      <w:r>
        <w:rPr/>
        <w:t xml:space="preserve">• </w:t>
      </w:r>
      <w:r>
        <w:rPr/>
        <w:t>Replace “Compute L</w:t>
      </w:r>
      <w:r>
        <w:rPr>
          <w:position w:val="-2"/>
          <w:sz w:val="18"/>
        </w:rPr>
        <w:t>SDF</w:t>
      </w:r>
      <w:r>
        <w:rPr/>
        <w:t>(Ẑ; G</w:t>
      </w:r>
      <w:r>
        <w:rPr>
          <w:position w:val="-2"/>
          <w:sz w:val="18"/>
        </w:rPr>
        <w:t>θ</w:t>
      </w:r>
      <w:r>
        <w:rPr/>
        <w:t>) through frozen G</w:t>
      </w:r>
      <w:r>
        <w:rPr>
          <w:position w:val="-2"/>
          <w:sz w:val="18"/>
        </w:rPr>
        <w:t>θ</w:t>
      </w:r>
      <w:r>
        <w:rPr/>
        <w:t>” with “Compute L</w:t>
      </w:r>
      <w:r>
        <w:rPr>
          <w:position w:val="-2"/>
          <w:sz w:val="18"/>
        </w:rPr>
        <w:t>SDF</w:t>
      </w:r>
      <w:r>
        <w:rPr/>
        <w:t>(Ẑ; θ) through the frozen decoder G</w:t>
      </w:r>
      <w:r>
        <w:rPr>
          <w:position w:val="-2"/>
          <w:sz w:val="18"/>
        </w:rPr>
        <w:t>θ</w:t>
      </w:r>
      <w:r>
        <w:rPr/>
        <w:t>”.</w:t>
      </w:r>
    </w:p>
    <w:p>
      <w:pPr>
        <w:pStyle w:val="Quotations"/>
        <w:bidi w:val="0"/>
        <w:spacing w:before="0" w:after="160"/>
        <w:ind w:left="360" w:right="567" w:hanging="0"/>
        <w:jc w:val="left"/>
        <w:rPr/>
      </w:pPr>
      <w:r>
        <w:rPr/>
        <w:t xml:space="preserve">• </w:t>
      </w:r>
      <w:r>
        <w:rPr/>
        <w:t>Replace “Use pseudo disease labels and age labels on the designated coordinates in L</w:t>
      </w:r>
      <w:r>
        <w:rPr>
          <w:position w:val="-2"/>
          <w:sz w:val="18"/>
        </w:rPr>
        <w:t>SNNL</w:t>
      </w:r>
      <w:r>
        <w:rPr/>
        <w:t>” with “Use pseudo disease labels ỹ and age labels a on the designated coordinates c in L</w:t>
      </w:r>
      <w:r>
        <w:rPr>
          <w:position w:val="-2"/>
          <w:sz w:val="18"/>
        </w:rPr>
        <w:t>SNNL</w:t>
      </w:r>
      <w:r>
        <w:rPr/>
        <w:t>”.</w:t>
      </w:r>
    </w:p>
    <w:p>
      <w:pPr>
        <w:pStyle w:val="TextBody"/>
        <w:bidi w:val="0"/>
        <w:jc w:val="left"/>
        <w:rPr>
          <w:b/>
          <w:color w:val="1F4E79"/>
        </w:rPr>
      </w:pPr>
      <w:r>
        <w:rPr>
          <w:b/>
          <w:color w:val="1F4E79"/>
        </w:rPr>
        <w:t>Figure 2 · Replace the caption and relabel the input block “256 + 3 = 259” · Addresses R1 C5</w:t>
      </w:r>
    </w:p>
    <w:p>
      <w:pPr>
        <w:pStyle w:val="Quotations"/>
        <w:bidi w:val="0"/>
        <w:spacing w:before="0" w:after="160"/>
        <w:ind w:left="360" w:right="567" w:hanging="0"/>
        <w:jc w:val="left"/>
        <w:rPr/>
      </w:pPr>
      <w:r>
        <w:rPr/>
        <w:t>FIGURE 2. INR architecture following the DeepSDF decoder [9]. The decoder takes as input the concatenation of a d = 256-dimensional latent shape code z and a 3D query coordinate x = (x, y, z), giving a 256 + 3 = 259-dimensional vector [z, x]. The network uses eight fully connected layers with nominal width 512. At the midpoint, the 259-dimensional input is re-inserted by concatenating it with the output of the pre-skip layer, whose width is reduced to 253 so that the concatenated feature again has dimension 512. The final layer predicts a scalar signed distance value, bounded by a hyperbolic tangent activation.</w:t>
      </w:r>
    </w:p>
    <w:p>
      <w:pPr>
        <w:pStyle w:val="Heading2"/>
        <w:bidi w:val="0"/>
        <w:jc w:val="left"/>
        <w:rPr/>
      </w:pPr>
      <w:r>
        <w:rPr/>
        <w:t>IV. Experiments</w:t>
      </w:r>
    </w:p>
    <w:p>
      <w:pPr>
        <w:pStyle w:val="TextBody"/>
        <w:bidi w:val="0"/>
        <w:jc w:val="left"/>
        <w:rPr>
          <w:b/>
          <w:color w:val="1F4E79"/>
        </w:rPr>
      </w:pPr>
      <w:r>
        <w:rPr>
          <w:b/>
          <w:color w:val="1F4E79"/>
        </w:rPr>
        <w:t>Section IV-A-1 (ADNI) · Replace the sentence on image resolution · Addresses R2 C7</w:t>
      </w:r>
    </w:p>
    <w:p>
      <w:pPr>
        <w:pStyle w:val="Quotations"/>
        <w:bidi w:val="0"/>
        <w:spacing w:before="0" w:after="160"/>
        <w:ind w:left="360" w:right="567" w:hanging="0"/>
        <w:jc w:val="left"/>
        <w:rPr/>
      </w:pPr>
      <w:r>
        <w:rPr/>
        <w:t>The segmentation masks are resampled to an isotropic resolution of 1 mm (the source resolution is given in Table 1) and are accompanied by left and right hippocampal segmentation masks and reference hippocampal volumes.</w:t>
      </w:r>
    </w:p>
    <w:p>
      <w:pPr>
        <w:pStyle w:val="TextBody"/>
        <w:bidi w:val="0"/>
        <w:jc w:val="left"/>
        <w:rPr>
          <w:b/>
          <w:color w:val="1F4E79"/>
        </w:rPr>
      </w:pPr>
      <w:r>
        <w:rPr>
          <w:b/>
          <w:color w:val="1F4E79"/>
        </w:rPr>
        <w:t>Section IV-A-1 (ADNI) · Replace the mesh construction sentence · Addresses R2 C3</w:t>
      </w:r>
    </w:p>
    <w:p>
      <w:pPr>
        <w:pStyle w:val="Quotations"/>
        <w:bidi w:val="0"/>
        <w:spacing w:before="0" w:after="160"/>
        <w:ind w:left="360" w:right="567" w:hanging="0"/>
        <w:jc w:val="left"/>
        <w:rPr/>
      </w:pPr>
      <w:r>
        <w:rPr/>
        <w:t>To construct the hippocampal shapes, each binary segmentation mask is padded and converted into a triangular surface mesh using marching cubes at an isovalue of 0.5 [45]. The extracted surface is smoothed with three iterations of Laplacian smoothing, centered at the origin, and scaled by a single factor shared by all shapes of the dataset, which preserves relative size. Details of mesh normalization and SDF sampling are given in Appendix A.</w:t>
      </w:r>
    </w:p>
    <w:p>
      <w:pPr>
        <w:pStyle w:val="TextBody"/>
        <w:bidi w:val="0"/>
        <w:jc w:val="left"/>
        <w:rPr>
          <w:b/>
          <w:color w:val="1F4E79"/>
        </w:rPr>
      </w:pPr>
      <w:r>
        <w:rPr>
          <w:b/>
          <w:color w:val="1F4E79"/>
        </w:rPr>
        <w:t>Section IV-A · Replace the paragraph beginning “For both datasets, we use patient-disjoint, stratified 80%/10%/10%...” · Addresses R2 C1</w:t>
      </w:r>
    </w:p>
    <w:p>
      <w:pPr>
        <w:pStyle w:val="Quotations"/>
        <w:bidi w:val="0"/>
        <w:spacing w:before="0" w:after="160"/>
        <w:ind w:left="360" w:right="567" w:hanging="0"/>
        <w:jc w:val="left"/>
        <w:rPr/>
      </w:pPr>
      <w:r>
        <w:rPr>
          <w:i/>
        </w:rPr>
        <w:t>Data partitions.</w:t>
      </w:r>
      <w:r>
        <w:rPr/>
        <w:t xml:space="preserve"> All partitions are subject-disjoint: every scan of a subject is assigned to the same partition. For ADNI, the 819 scans of 247 subjects (3.32 scans per subject on average) are divided into three partitions: training (209 subjects, 696 scans; 84.6% of subjects), validation (14 subjects, 46 scans; 5.7%) and test (24 subjects, 77 scans; 9.7%). The partitions are stratified to preserve the diagnosis, age and sex ratios, and no subject appears in more than one partition. OAI-ZIB contains one scan per subject, so its partitions are disjoint by construction.</w:t>
      </w:r>
    </w:p>
    <w:p>
      <w:pPr>
        <w:pStyle w:val="Quotations"/>
        <w:bidi w:val="0"/>
        <w:spacing w:before="0" w:after="160"/>
        <w:ind w:left="360" w:right="567" w:hanging="0"/>
        <w:jc w:val="left"/>
        <w:rPr/>
      </w:pPr>
      <w:r>
        <w:rPr/>
        <w:t>For ADNI, stage 1 is trained on the training partition. Codes for validation and test scans are obtained by latent optimization with the frozen decoder, as in DeepSDF [9], so no held-out subject influences the decoder or pseudo-label discovery. For OAI, stage 1 uses all 234 extracted distal femur shapes, including 43 without a binary diagnosis label; because stage 1 is unsupervised, this introduces no label leakage. All OAI evaluations use the 191 labelled shapes. The validation and test partitions are used for the supervised experiments and for downstream classification.</w:t>
      </w:r>
    </w:p>
    <w:p>
      <w:pPr>
        <w:pStyle w:val="TextBody"/>
        <w:bidi w:val="0"/>
        <w:jc w:val="left"/>
        <w:rPr>
          <w:b/>
          <w:color w:val="1F4E79"/>
        </w:rPr>
      </w:pPr>
      <w:r>
        <w:rPr>
          <w:b/>
          <w:color w:val="1F4E79"/>
        </w:rPr>
        <w:t>Table 1 · Replace the table (adds scans per subject; states the resampled resolution) · Addresses R2 C1, R2 C7</w:t>
      </w:r>
    </w:p>
    <w:p>
      <w:pPr>
        <w:pStyle w:val="Quotations"/>
        <w:bidi w:val="0"/>
        <w:spacing w:before="0" w:after="160"/>
        <w:ind w:left="360" w:right="567" w:hanging="0"/>
        <w:jc w:val="left"/>
        <w:rPr/>
      </w:pPr>
      <w:r>
        <w:rPr/>
        <w:t>TABLE 1. Cohort summary of the datasets used in this study; age is reported as mean ± standard deviation, and scans per subject as mean (range).</w:t>
      </w:r>
    </w:p>
    <w:tbl>
      <w:tblPr>
        <w:tblW w:w="9612" w:type="dxa"/>
        <w:jc w:val="left"/>
        <w:tblInd w:w="353" w:type="dxa"/>
        <w:tblLayout w:type="fixed"/>
        <w:tblCellMar>
          <w:top w:w="45" w:type="dxa"/>
          <w:left w:w="45" w:type="dxa"/>
          <w:bottom w:w="45" w:type="dxa"/>
          <w:right w:w="45" w:type="dxa"/>
        </w:tblCellMar>
      </w:tblPr>
      <w:tblGrid>
        <w:gridCol w:w="830"/>
        <w:gridCol w:w="909"/>
        <w:gridCol w:w="843"/>
        <w:gridCol w:w="586"/>
        <w:gridCol w:w="601"/>
        <w:gridCol w:w="1094"/>
        <w:gridCol w:w="2725"/>
        <w:gridCol w:w="2024"/>
      </w:tblGrid>
      <w:tr>
        <w:trPr/>
        <w:tc>
          <w:tcPr>
            <w:tcW w:w="8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Dataset</w:t>
            </w:r>
          </w:p>
        </w:tc>
        <w:tc>
          <w:tcPr>
            <w:tcW w:w="90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Subjects / Scans</w:t>
            </w:r>
          </w:p>
        </w:tc>
        <w:tc>
          <w:tcPr>
            <w:tcW w:w="84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Scans per subject</w:t>
            </w:r>
          </w:p>
        </w:tc>
        <w:tc>
          <w:tcPr>
            <w:tcW w:w="5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w:t>
            </w:r>
          </w:p>
        </w:tc>
        <w:tc>
          <w:tcPr>
            <w:tcW w:w="60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Sex (M/F)</w:t>
            </w:r>
          </w:p>
        </w:tc>
        <w:tc>
          <w:tcPr>
            <w:tcW w:w="1094"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Diagnosis</w:t>
            </w:r>
          </w:p>
        </w:tc>
        <w:tc>
          <w:tcPr>
            <w:tcW w:w="272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MRI acquisition</w:t>
            </w:r>
          </w:p>
        </w:tc>
        <w:tc>
          <w:tcPr>
            <w:tcW w:w="2024"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Provided segmentation</w:t>
            </w:r>
          </w:p>
        </w:tc>
      </w:tr>
      <w:tr>
        <w:trPr/>
        <w:tc>
          <w:tcPr>
            <w:tcW w:w="8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ADNI-1</w:t>
            </w:r>
          </w:p>
        </w:tc>
        <w:tc>
          <w:tcPr>
            <w:tcW w:w="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247 / 819</w:t>
            </w:r>
          </w:p>
        </w:tc>
        <w:tc>
          <w:tcPr>
            <w:tcW w:w="8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3.32 (1–6)</w:t>
            </w:r>
          </w:p>
        </w:tc>
        <w:tc>
          <w:tcPr>
            <w:tcW w:w="5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76.6 ± 5.9</w:t>
            </w:r>
          </w:p>
        </w:tc>
        <w:tc>
          <w:tcPr>
            <w:tcW w:w="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127 / 120</w:t>
            </w:r>
          </w:p>
        </w:tc>
        <w:tc>
          <w:tcPr>
            <w:tcW w:w="10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CN: 144, AD: 103</w:t>
            </w:r>
          </w:p>
        </w:tc>
        <w:tc>
          <w:tcPr>
            <w:tcW w:w="27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Multi-site 1.5 T T1-weighted MPRAGE MRI; typical source resolution ∼1.25 × 1.25 × 1.2 mm³; masks resampled to 1 mm isotropic</w:t>
            </w:r>
          </w:p>
        </w:tc>
        <w:tc>
          <w:tcPr>
            <w:tcW w:w="20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Left/right hippocampal masks with reference hippocampal volumes</w:t>
            </w:r>
          </w:p>
        </w:tc>
      </w:tr>
      <w:tr>
        <w:trPr/>
        <w:tc>
          <w:tcPr>
            <w:tcW w:w="8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OAI-ZIB</w:t>
            </w:r>
          </w:p>
        </w:tc>
        <w:tc>
          <w:tcPr>
            <w:tcW w:w="9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191 / 191</w:t>
            </w:r>
          </w:p>
        </w:tc>
        <w:tc>
          <w:tcPr>
            <w:tcW w:w="84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w:t>
            </w:r>
          </w:p>
        </w:tc>
        <w:tc>
          <w:tcPr>
            <w:tcW w:w="5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59.7 ± 9.0</w:t>
            </w:r>
          </w:p>
        </w:tc>
        <w:tc>
          <w:tcPr>
            <w:tcW w:w="6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95 / 96</w:t>
            </w:r>
          </w:p>
        </w:tc>
        <w:tc>
          <w:tcPr>
            <w:tcW w:w="109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Healthy: 130, OA: 61</w:t>
            </w:r>
          </w:p>
        </w:tc>
        <w:tc>
          <w:tcPr>
            <w:tcW w:w="272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 T sagittal DESS MRI, baseline, 0.365 × 0.456 × 0.700 mm³</w:t>
            </w:r>
          </w:p>
        </w:tc>
        <w:tc>
          <w:tcPr>
            <w:tcW w:w="20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Femoral-bone segmentation masks used to derive distal femur shapes</w:t>
            </w:r>
          </w:p>
        </w:tc>
      </w:tr>
    </w:tbl>
    <w:p>
      <w:pPr>
        <w:pStyle w:val="TextBody"/>
        <w:bidi w:val="0"/>
        <w:jc w:val="left"/>
        <w:rPr>
          <w:b/>
          <w:color w:val="1F4E79"/>
        </w:rPr>
      </w:pPr>
      <w:r>
        <w:rPr>
          <w:b/>
          <w:color w:val="1F4E79"/>
        </w:rPr>
        <w:t>Section IV-B-1 · Replace the sentence “For Stage-2 ablations, each setting is run with three random seeds and we report the average performance.” · Addresses R1 C2</w:t>
      </w:r>
    </w:p>
    <w:p>
      <w:pPr>
        <w:pStyle w:val="Quotations"/>
        <w:bidi w:val="0"/>
        <w:spacing w:before="0" w:after="160"/>
        <w:ind w:left="360" w:right="567" w:hanging="0"/>
        <w:jc w:val="left"/>
        <w:rPr/>
      </w:pPr>
      <w:r>
        <w:rPr/>
        <w:t>All stage-2 models are run with five random seeds, and we report mean ± standard deviation (see Statistical analysis below).</w:t>
      </w:r>
    </w:p>
    <w:p>
      <w:pPr>
        <w:pStyle w:val="TextBody"/>
        <w:bidi w:val="0"/>
        <w:jc w:val="left"/>
        <w:rPr>
          <w:b/>
          <w:color w:val="1F4E79"/>
        </w:rPr>
      </w:pPr>
      <w:r>
        <w:rPr>
          <w:b/>
          <w:color w:val="1F4E79"/>
        </w:rPr>
        <w:t>Section IV-B-1 · Replace the stage-2 hyperparameter list (the Th value becomes τ) · Addresses R1 C3, R1 C4</w:t>
      </w:r>
    </w:p>
    <w:p>
      <w:pPr>
        <w:pStyle w:val="Quotations"/>
        <w:bidi w:val="0"/>
        <w:spacing w:before="0" w:after="160"/>
        <w:ind w:left="360" w:right="567" w:hanging="0"/>
        <w:jc w:val="left"/>
        <w:rPr/>
      </w:pPr>
      <w:r>
        <w:rPr/>
        <w:t>We use λ</w:t>
      </w:r>
      <w:r>
        <w:rPr>
          <w:position w:val="-2"/>
          <w:sz w:val="18"/>
        </w:rPr>
        <w:t>reg</w:t>
      </w:r>
      <w:r>
        <w:rPr/>
        <w:t xml:space="preserve"> = 10⁻⁴, λ</w:t>
      </w:r>
      <w:r>
        <w:rPr>
          <w:position w:val="-2"/>
          <w:sz w:val="18"/>
        </w:rPr>
        <w:t>code</w:t>
      </w:r>
      <w:r>
        <w:rPr/>
        <w:t xml:space="preserve"> = 0.44, β = 0.008, λ</w:t>
      </w:r>
      <w:r>
        <w:rPr>
          <w:position w:val="-2"/>
          <w:sz w:val="18"/>
        </w:rPr>
        <w:t>snnl</w:t>
      </w:r>
      <w:r>
        <w:rPr/>
        <w:t xml:space="preserve"> = 0.77 (λ</w:t>
      </w:r>
      <w:r>
        <w:rPr>
          <w:position w:val="-2"/>
          <w:sz w:val="18"/>
        </w:rPr>
        <w:t>1</w:t>
      </w:r>
      <w:r>
        <w:rPr/>
        <w:t xml:space="preserve"> = λ</w:t>
      </w:r>
      <w:r>
        <w:rPr>
          <w:position w:val="-2"/>
          <w:sz w:val="18"/>
        </w:rPr>
        <w:t>2</w:t>
      </w:r>
      <w:r>
        <w:rPr/>
        <w:t xml:space="preserve"> = 0.5), τ = 0 for the disease label and τ = 0.20 for normalized age, λ</w:t>
      </w:r>
      <w:r>
        <w:rPr>
          <w:position w:val="-2"/>
          <w:sz w:val="18"/>
        </w:rPr>
        <w:t>cov</w:t>
      </w:r>
      <w:r>
        <w:rPr/>
        <w:t xml:space="preserve"> = 0.007, and λ</w:t>
      </w:r>
      <w:r>
        <w:rPr>
          <w:position w:val="-2"/>
          <w:sz w:val="18"/>
        </w:rPr>
        <w:t>dis_sen</w:t>
      </w:r>
      <w:r>
        <w:rPr/>
        <w:t xml:space="preserve"> = 0.56 with ε = 0.02 and η = 0.02. Searched and fixed values are listed in Appendix Table A1.</w:t>
      </w:r>
    </w:p>
    <w:p>
      <w:pPr>
        <w:pStyle w:val="TextBody"/>
        <w:bidi w:val="0"/>
        <w:jc w:val="left"/>
        <w:rPr>
          <w:b/>
          <w:color w:val="1F4E79"/>
        </w:rPr>
      </w:pPr>
      <w:r>
        <w:rPr>
          <w:b/>
          <w:color w:val="1F4E79"/>
        </w:rPr>
        <w:t>Section IV-B-1 · Replace the hyperparameter-selection paragraph (beginning “Hyperparameters are selected using Optuna”) · Addresses R1 C3</w:t>
      </w:r>
    </w:p>
    <w:p>
      <w:pPr>
        <w:pStyle w:val="Quotations"/>
        <w:bidi w:val="0"/>
        <w:spacing w:before="0" w:after="160"/>
        <w:ind w:left="360" w:right="567" w:hanging="0"/>
        <w:jc w:val="left"/>
        <w:rPr/>
      </w:pPr>
      <w:r>
        <w:rPr/>
        <w:t>Hyperparameters are selected with Optuna [46] using the tree-structured Parzen estimator (TPE) sampler with seed 0. For stage 1, we run 50 trials of 100 epochs each over λ</w:t>
      </w:r>
      <w:r>
        <w:rPr>
          <w:position w:val="-2"/>
          <w:sz w:val="18"/>
        </w:rPr>
        <w:t>eik</w:t>
      </w:r>
      <w:r>
        <w:rPr/>
        <w:t>, λ</w:t>
      </w:r>
      <w:r>
        <w:rPr>
          <w:position w:val="-2"/>
          <w:sz w:val="18"/>
        </w:rPr>
        <w:t>reg</w:t>
      </w:r>
      <w:r>
        <w:rPr/>
        <w:t>, λ</w:t>
      </w:r>
      <w:r>
        <w:rPr>
          <w:position w:val="-2"/>
          <w:sz w:val="18"/>
        </w:rPr>
        <w:t>gmm</w:t>
      </w:r>
      <w:r>
        <w:rPr/>
        <w:t xml:space="preserve"> and the learning rate. For stage 2, we run 100 trials of 500 epochs each over the 12 parameters listed in Appendix Table A1, whose ranges span the scales reported in the cited related work.</w:t>
      </w:r>
    </w:p>
    <w:p>
      <w:pPr>
        <w:pStyle w:val="Quotations"/>
        <w:bidi w:val="0"/>
        <w:spacing w:before="0" w:after="160"/>
        <w:ind w:left="360" w:right="567" w:hanging="0"/>
        <w:jc w:val="left"/>
        <w:rPr/>
      </w:pPr>
      <w:r>
        <w:rPr/>
        <w:t>Each stage-2 trial is scored by</w:t>
      </w:r>
    </w:p>
    <w:p>
      <w:pPr>
        <w:pStyle w:val="Quotations"/>
        <w:bidi w:val="0"/>
        <w:jc w:val="center"/>
        <w:rPr/>
      </w:pPr>
      <w:r>
        <w:rPr/>
        <w:t>J = 0.6 · SAP + 0.3 · ½(|r</w:t>
      </w:r>
      <w:r>
        <w:rPr>
          <w:position w:val="-2"/>
          <w:sz w:val="18"/>
        </w:rPr>
        <w:t>disease</w:t>
      </w:r>
      <w:r>
        <w:rPr/>
        <w:t>| + |r</w:t>
      </w:r>
      <w:r>
        <w:rPr>
          <w:position w:val="-2"/>
          <w:sz w:val="18"/>
        </w:rPr>
        <w:t>age</w:t>
      </w:r>
      <w:r>
        <w:rPr/>
        <w:t>|) + 0.1 · (−L</w:t>
      </w:r>
      <w:r>
        <w:rPr>
          <w:position w:val="-2"/>
          <w:sz w:val="18"/>
        </w:rPr>
        <w:t>SDF</w:t>
      </w:r>
      <w:r>
        <w:rPr/>
        <w:t>),</w:t>
      </w:r>
    </w:p>
    <w:p>
      <w:pPr>
        <w:pStyle w:val="Quotations"/>
        <w:bidi w:val="0"/>
        <w:spacing w:before="0" w:after="160"/>
        <w:ind w:left="360" w:right="567" w:hanging="0"/>
        <w:jc w:val="left"/>
        <w:rPr/>
      </w:pPr>
      <w:r>
        <w:rPr/>
        <w:t>where SAP and the correlations are computed on a held-out 10% of the training subjects and L</w:t>
      </w:r>
      <w:r>
        <w:rPr>
          <w:position w:val="-2"/>
          <w:sz w:val="18"/>
        </w:rPr>
        <w:t>SDF</w:t>
      </w:r>
      <w:r>
        <w:rPr/>
        <w:t xml:space="preserve"> on the training shapes. The best configuration is retrained for 2,000 epochs and used unchanged for both datasets, so the OAI results involve no per-dataset tuning. The weights λ</w:t>
      </w:r>
      <w:r>
        <w:rPr>
          <w:position w:val="-2"/>
          <w:sz w:val="18"/>
        </w:rPr>
        <w:t>dis_sen</w:t>
      </w:r>
      <w:r>
        <w:rPr/>
        <w:t>, ε, η, λ</w:t>
      </w:r>
      <w:r>
        <w:rPr>
          <w:position w:val="-2"/>
          <w:sz w:val="18"/>
        </w:rPr>
        <w:t>1</w:t>
      </w:r>
      <w:r>
        <w:rPr/>
        <w:t xml:space="preserve"> and λ</w:t>
      </w:r>
      <w:r>
        <w:rPr>
          <w:position w:val="-2"/>
          <w:sz w:val="18"/>
        </w:rPr>
        <w:t>2</w:t>
      </w:r>
      <w:r>
        <w:rPr/>
        <w:t xml:space="preserve"> are fixed rather than searched. Because SAP in J uses the diagnosis labels of the held-out subjects, model selection is the only stage of the pipeline that uses ground-truth diagnosis; pseudo-label discovery and model training use none. Section V-E shows that the results are insensitive to the principal loss weights.</w:t>
      </w:r>
    </w:p>
    <w:p>
      <w:pPr>
        <w:pStyle w:val="TextBody"/>
        <w:bidi w:val="0"/>
        <w:jc w:val="left"/>
        <w:rPr>
          <w:b/>
          <w:color w:val="1F4E79"/>
        </w:rPr>
      </w:pPr>
      <w:r>
        <w:rPr>
          <w:b/>
          <w:color w:val="1F4E79"/>
        </w:rPr>
        <w:t>Section IV-B-1 · Add after the hyperparameter-selection paragraph · Addresses R1 C2, R2 C2</w:t>
      </w:r>
    </w:p>
    <w:p>
      <w:pPr>
        <w:pStyle w:val="Quotations"/>
        <w:bidi w:val="0"/>
        <w:spacing w:before="0" w:after="160"/>
        <w:ind w:left="360" w:right="567" w:hanging="0"/>
        <w:jc w:val="left"/>
        <w:rPr/>
      </w:pPr>
      <w:r>
        <w:rPr>
          <w:i/>
        </w:rPr>
        <w:t>Evaluation protocol.</w:t>
      </w:r>
      <w:r>
        <w:rPr/>
        <w:t xml:space="preserve"> SAP and Pearson correlations are computed on the stage-2 latents of the ADNI training partition and of the 191 labelled OAI shapes, following standard practice for unsupervised disentanglement [14], [21], since stage 2 is trained without diagnosis labels. Downstream disease classification uses a KNN classifier fitted on training shapes and evaluated on the test partition; we report both accuracy and balanced accuracy.</w:t>
      </w:r>
    </w:p>
    <w:p>
      <w:pPr>
        <w:pStyle w:val="Quotations"/>
        <w:bidi w:val="0"/>
        <w:spacing w:before="0" w:after="160"/>
        <w:ind w:left="360" w:right="567" w:hanging="0"/>
        <w:jc w:val="left"/>
        <w:rPr/>
      </w:pPr>
      <w:r>
        <w:rPr>
          <w:i/>
        </w:rPr>
        <w:t>Statistical analysis.</w:t>
      </w:r>
      <w:r>
        <w:rPr/>
        <w:t xml:space="preserve"> Each trained stage-2 model is run with five random seeds, which control weight initialization, minibatch order and reparameterization noise; the stage-1 codes are fixed across seeds. We report mean ± standard deviation. PCA is deterministic, and ICA and HLLE+ICA are run with a fixed seed. For these methods (marked †), we report the standard deviation of a subject-level bootstrap [54] with 1,000 resamples.</w:t>
      </w:r>
    </w:p>
    <w:p>
      <w:pPr>
        <w:pStyle w:val="Quotations"/>
        <w:bidi w:val="0"/>
        <w:spacing w:before="0" w:after="160"/>
        <w:ind w:left="360" w:right="567" w:hanging="0"/>
        <w:jc w:val="left"/>
        <w:rPr/>
      </w:pPr>
      <w:r>
        <w:rPr/>
        <w:t>The proposed model is compared with each trained method using a two-sided paired t-test across seeds, and with each deterministic method using a one-sample t-test of its five seeds against the deterministic value. Holm–Bonferroni correction [52] is applied within two pre-specified families per metric: comparisons with the baselines, and comparisons with the ablations. For each difference, we also report a 95% confidence interval from a subject-level paired bootstrap. Consistency across metrics is assessed with a two-sided sign test, excluding ties, over the 12 cells formed by the six primary metrics of Table 3 and the two datasets. Stage-1 clustering statistics (Table 2) are reported with 95% subject-level bootstrap confidence intervals. All resampling is performed at the subject level to account for repeated scans in ADNI.</w:t>
      </w:r>
    </w:p>
    <w:p>
      <w:pPr>
        <w:pStyle w:val="TextBody"/>
        <w:bidi w:val="0"/>
        <w:jc w:val="left"/>
        <w:rPr>
          <w:b/>
          <w:color w:val="1F4E79"/>
        </w:rPr>
      </w:pPr>
      <w:r>
        <w:rPr>
          <w:b/>
          <w:color w:val="1F4E79"/>
        </w:rPr>
        <w:t>Section IV-B-2 (Metrics) · Add after the SAP paragraph · Addresses R1 C1</w:t>
      </w:r>
    </w:p>
    <w:p>
      <w:pPr>
        <w:pStyle w:val="Quotations"/>
        <w:bidi w:val="0"/>
        <w:spacing w:before="0" w:after="160"/>
        <w:ind w:left="360" w:right="567" w:hanging="0"/>
        <w:jc w:val="left"/>
        <w:rPr/>
      </w:pPr>
      <w:r>
        <w:rPr/>
        <w:t>To evaluate stage-1 pseudo-labels, we report purity together with the majority-class baseline, i.e., the purity obtained by assigning every shape to the most frequent diagnosis, which is a lower bound on purity. We also report chance-corrected agreement with diagnosis. The first measure is balanced accuracy [53], BAcc = ½ (TP/(TP + FN) + TN/(TN + FP)), which equals 50% for any assignment that is independent of the labels. The others are Cohen’s κ [50] and the adjusted Rand index (ARI) [51], both of which are 0 at chance level. Balanced accuracy is also reported for downstream disease classification, since plain accuracy is uninformative when it falls below the majority-class rate.</w:t>
      </w:r>
    </w:p>
    <w:p>
      <w:pPr>
        <w:pStyle w:val="Heading2"/>
        <w:bidi w:val="0"/>
        <w:jc w:val="left"/>
        <w:rPr/>
      </w:pPr>
      <w:r>
        <w:rPr/>
        <w:t>V. Results</w:t>
      </w:r>
    </w:p>
    <w:p>
      <w:pPr>
        <w:pStyle w:val="TextBody"/>
        <w:bidi w:val="0"/>
        <w:jc w:val="left"/>
        <w:rPr>
          <w:b/>
          <w:color w:val="1F4E79"/>
        </w:rPr>
      </w:pPr>
      <w:r>
        <w:rPr>
          <w:b/>
          <w:color w:val="1F4E79"/>
        </w:rPr>
        <w:t>Section V-A · Replace the stage-1 paragraph (beginning “We evaluate stage-1 INR training on both ADNI and OAI in Table 2”) · Addresses R1 C1</w:t>
      </w:r>
    </w:p>
    <w:p>
      <w:pPr>
        <w:pStyle w:val="Quotations"/>
        <w:bidi w:val="0"/>
        <w:spacing w:before="0" w:after="160"/>
        <w:ind w:left="360" w:right="567" w:hanging="0"/>
        <w:jc w:val="left"/>
        <w:rPr/>
      </w:pPr>
      <w:r>
        <w:rPr/>
        <w:t>We evaluate stage-1 INR training on ADNI and OAI in Table 2. Purity is computed only for evaluation, using the ground-truth disease labels, and is bounded below by the majority-class rate (56.47% for the ADNI training partition and 68.06% for OAI); we therefore also report chance-corrected agreement. Adding the Eikonal loss and then the GMM prior increases agreement on both datasets. With the GMM prior, ADNI pseudo-labels reach 81.18% purity, 24.7 points above the majority baseline, with a balanced accuracy of 80.76% and κ = 0.616, and the prior also produces the largest mean-volume gap between the two clusters (ΔV = 1401 mm³).</w:t>
      </w:r>
    </w:p>
    <w:p>
      <w:pPr>
        <w:pStyle w:val="Quotations"/>
        <w:bidi w:val="0"/>
        <w:spacing w:before="0" w:after="160"/>
        <w:ind w:left="360" w:right="567" w:hanging="0"/>
        <w:jc w:val="left"/>
        <w:rPr/>
      </w:pPr>
      <w:r>
        <w:rPr/>
        <w:t>On OAI, the purity gain over the majority baseline is small (75.39% vs. 68.06%), but the clusters are far from majority assignment. They recover 72.1% of OA shapes and 76.9% of healthy shapes (balanced accuracy 74.53%, κ = 0.464, ARI = 0.250), and Fisher’s exact test confirms the association between cluster and diagnosis (p = 1.4 × 10⁻¹⁰). OAI pseudo-labels thus carry a genuine but noisier disease signal, which bounds the stage-2 gains on this cohort. The GMM prior slightly increases the reconstruction error, to 0.0015 on ADNI and 0.0012 on OAI.</w:t>
      </w:r>
    </w:p>
    <w:p>
      <w:pPr>
        <w:pStyle w:val="Quotations"/>
        <w:bidi w:val="0"/>
        <w:spacing w:before="0" w:after="160"/>
        <w:ind w:left="360" w:right="567" w:hanging="0"/>
        <w:jc w:val="left"/>
        <w:rPr/>
      </w:pPr>
      <w:r>
        <w:rPr/>
        <w:t>Fig. 3 shows that the AD-associated cluster has a lower mean hippocampal volume than the CN-associated cluster, consistent with previous findings [48]; however, the overlapping volume distributions indicate that volume alone does not determine the cluster assignments. We do not report a volume gap for OAI, because femoral volume is not a clear determinant of OA status in this dataset. Shape-space clustering and HLLE+ICA [21] do not produce meaningful disease-related separation, so we use the proposed stage-1 representation for the subsequent disentanglement experiments.</w:t>
      </w:r>
    </w:p>
    <w:p>
      <w:pPr>
        <w:pStyle w:val="TextBody"/>
        <w:bidi w:val="0"/>
        <w:jc w:val="left"/>
        <w:rPr>
          <w:b/>
          <w:color w:val="1F4E79"/>
        </w:rPr>
      </w:pPr>
      <w:r>
        <w:rPr>
          <w:b/>
          <w:color w:val="1F4E79"/>
        </w:rPr>
        <w:t>Table 2 · Replace the table and caption · Addresses R1 C1, R2 C2</w:t>
      </w:r>
    </w:p>
    <w:p>
      <w:pPr>
        <w:pStyle w:val="Quotations"/>
        <w:bidi w:val="0"/>
        <w:spacing w:before="0" w:after="160"/>
        <w:ind w:left="360" w:right="567" w:hanging="0"/>
        <w:jc w:val="left"/>
        <w:rPr/>
      </w:pPr>
      <w:r>
        <w:rPr/>
        <w:t>TABLE 2. Stage-1 ablation on ADNI and OAI. The table reports purity, the majority-class baseline, balanced accuracy (BAcc), Cohen’s κ and the adjusted Rand index (ARI) of the pseudo-labels with respect to diagnosis, with 95% subject-level bootstrap confidence intervals, together with the mean-volume gap between the two clusters (ΔV, mm³; ADNI only) and the reconstruction error. ADNI statistics are computed on the training partition (696 scans, 209 subjects) and OAI statistics on the 191 labelled shapes. Purity is bounded below by the majority-class baseline, while BAcc is 50% and κ and ARI are 0 for label-independent assignments. ↑/↓ indicates higher/lower is better.</w:t>
      </w:r>
    </w:p>
    <w:p>
      <w:pPr>
        <w:pStyle w:val="Quotations"/>
        <w:bidi w:val="0"/>
        <w:jc w:val="left"/>
        <w:rPr>
          <w:b/>
        </w:rPr>
      </w:pPr>
      <w:r>
        <w:rPr>
          <w:b/>
        </w:rPr>
        <w:t>(a) ADNI</w:t>
      </w:r>
    </w:p>
    <w:tbl>
      <w:tblPr>
        <w:tblW w:w="9612" w:type="dxa"/>
        <w:jc w:val="left"/>
        <w:tblInd w:w="353" w:type="dxa"/>
        <w:tblLayout w:type="fixed"/>
        <w:tblCellMar>
          <w:top w:w="45" w:type="dxa"/>
          <w:left w:w="45" w:type="dxa"/>
          <w:bottom w:w="45" w:type="dxa"/>
          <w:right w:w="45" w:type="dxa"/>
        </w:tblCellMar>
      </w:tblPr>
      <w:tblGrid>
        <w:gridCol w:w="1131"/>
        <w:gridCol w:w="1319"/>
        <w:gridCol w:w="1143"/>
        <w:gridCol w:w="1299"/>
        <w:gridCol w:w="1299"/>
        <w:gridCol w:w="1299"/>
        <w:gridCol w:w="931"/>
        <w:gridCol w:w="1191"/>
      </w:tblGrid>
      <w:tr>
        <w:trPr/>
        <w:tc>
          <w:tcPr>
            <w:tcW w:w="1131"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Losses</w:t>
            </w:r>
          </w:p>
        </w:tc>
        <w:tc>
          <w:tcPr>
            <w:tcW w:w="131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 (%) ↑</w:t>
            </w:r>
          </w:p>
        </w:tc>
        <w:tc>
          <w:tcPr>
            <w:tcW w:w="114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Majority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BAcc (%)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 ↑</w:t>
            </w:r>
          </w:p>
        </w:tc>
        <w:tc>
          <w:tcPr>
            <w:tcW w:w="9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ΔV (mm³) ↑</w:t>
            </w:r>
          </w:p>
        </w:tc>
        <w:tc>
          <w:tcPr>
            <w:tcW w:w="11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Recon. error ↓</w:t>
            </w:r>
          </w:p>
        </w:tc>
      </w:tr>
      <w:tr>
        <w:trPr/>
        <w:tc>
          <w:tcPr>
            <w:tcW w:w="11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Rec + ℓ2</w:t>
            </w:r>
          </w:p>
        </w:tc>
        <w:tc>
          <w:tcPr>
            <w:tcW w:w="1319" w:type="dxa"/>
            <w:tcBorders>
              <w:left w:val="single" w:sz="2" w:space="0" w:color="808080"/>
              <w:bottom w:val="single" w:sz="2" w:space="0" w:color="808080"/>
              <w:right w:val="single" w:sz="6" w:space="0" w:color="808080"/>
            </w:tcBorders>
            <w:vAlign w:val="center"/>
          </w:tcPr>
          <w:p>
            <w:pPr>
              <w:pStyle w:val="TableContents"/>
              <w:bidi w:val="0"/>
              <w:jc w:val="right"/>
              <w:rPr/>
            </w:pPr>
            <w:r>
              <w:rPr/>
              <w:t>72.43 [67.9, 76.8]</w:t>
            </w:r>
          </w:p>
        </w:tc>
        <w:tc>
          <w:tcPr>
            <w:tcW w:w="1143" w:type="dxa"/>
            <w:tcBorders>
              <w:left w:val="single" w:sz="2" w:space="0" w:color="808080"/>
              <w:bottom w:val="single" w:sz="2"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70.1 [65.4, 74.6]</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0.41 [0.32, 0.50]</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0.18 [0.12, 0.25]</w:t>
            </w:r>
          </w:p>
        </w:tc>
        <w:tc>
          <w:tcPr>
            <w:tcW w:w="931" w:type="dxa"/>
            <w:tcBorders>
              <w:left w:val="single" w:sz="2" w:space="0" w:color="808080"/>
              <w:bottom w:val="single" w:sz="2" w:space="0" w:color="808080"/>
              <w:right w:val="single" w:sz="6" w:space="0" w:color="808080"/>
            </w:tcBorders>
            <w:vAlign w:val="center"/>
          </w:tcPr>
          <w:p>
            <w:pPr>
              <w:pStyle w:val="TableContents"/>
              <w:bidi w:val="0"/>
              <w:jc w:val="right"/>
              <w:rPr/>
            </w:pPr>
            <w:r>
              <w:rPr/>
              <w:t>1154</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0.0014</w:t>
            </w:r>
          </w:p>
        </w:tc>
      </w:tr>
      <w:tr>
        <w:trPr/>
        <w:tc>
          <w:tcPr>
            <w:tcW w:w="11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Eikonal</w:t>
            </w:r>
          </w:p>
        </w:tc>
        <w:tc>
          <w:tcPr>
            <w:tcW w:w="1319" w:type="dxa"/>
            <w:tcBorders>
              <w:left w:val="single" w:sz="2" w:space="0" w:color="808080"/>
              <w:bottom w:val="single" w:sz="2" w:space="0" w:color="808080"/>
              <w:right w:val="single" w:sz="6" w:space="0" w:color="808080"/>
            </w:tcBorders>
            <w:vAlign w:val="center"/>
          </w:tcPr>
          <w:p>
            <w:pPr>
              <w:pStyle w:val="TableContents"/>
              <w:bidi w:val="0"/>
              <w:jc w:val="right"/>
              <w:rPr/>
            </w:pPr>
            <w:r>
              <w:rPr/>
              <w:t>80.19 [76.0, 84.1]</w:t>
            </w:r>
          </w:p>
        </w:tc>
        <w:tc>
          <w:tcPr>
            <w:tcW w:w="1143" w:type="dxa"/>
            <w:tcBorders>
              <w:left w:val="single" w:sz="2" w:space="0" w:color="808080"/>
              <w:bottom w:val="single" w:sz="2"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78.4 [74.1, 82.5]</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0.57 [0.48, 0.65]</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pPr>
            <w:r>
              <w:rPr/>
              <w:t>0.31 [0.23, 0.39]</w:t>
            </w:r>
          </w:p>
        </w:tc>
        <w:tc>
          <w:tcPr>
            <w:tcW w:w="931" w:type="dxa"/>
            <w:tcBorders>
              <w:left w:val="single" w:sz="2" w:space="0" w:color="808080"/>
              <w:bottom w:val="single" w:sz="2" w:space="0" w:color="808080"/>
              <w:right w:val="single" w:sz="6" w:space="0" w:color="808080"/>
            </w:tcBorders>
            <w:vAlign w:val="center"/>
          </w:tcPr>
          <w:p>
            <w:pPr>
              <w:pStyle w:val="TableContents"/>
              <w:bidi w:val="0"/>
              <w:jc w:val="right"/>
              <w:rPr/>
            </w:pPr>
            <w:r>
              <w:rPr/>
              <w:t>1317</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b/>
              </w:rPr>
            </w:pPr>
            <w:r>
              <w:rPr>
                <w:b/>
              </w:rPr>
              <w:t>0.0013</w:t>
            </w:r>
          </w:p>
        </w:tc>
      </w:tr>
      <w:tr>
        <w:trPr/>
        <w:tc>
          <w:tcPr>
            <w:tcW w:w="11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GMM prior</w:t>
            </w:r>
          </w:p>
        </w:tc>
        <w:tc>
          <w:tcPr>
            <w:tcW w:w="1319" w:type="dxa"/>
            <w:tcBorders>
              <w:left w:val="single" w:sz="2" w:space="0" w:color="808080"/>
              <w:bottom w:val="single" w:sz="6" w:space="0" w:color="808080"/>
              <w:right w:val="single" w:sz="6" w:space="0" w:color="808080"/>
            </w:tcBorders>
            <w:vAlign w:val="center"/>
          </w:tcPr>
          <w:p>
            <w:pPr>
              <w:pStyle w:val="TableContents"/>
              <w:bidi w:val="0"/>
              <w:jc w:val="right"/>
              <w:rPr/>
            </w:pPr>
            <w:r>
              <w:rPr>
                <w:b/>
              </w:rPr>
              <w:t>81.18</w:t>
            </w:r>
            <w:r>
              <w:rPr/>
              <w:t xml:space="preserve"> [77.0, 85.1]</w:t>
            </w:r>
          </w:p>
        </w:tc>
        <w:tc>
          <w:tcPr>
            <w:tcW w:w="1143" w:type="dxa"/>
            <w:tcBorders>
              <w:left w:val="single" w:sz="2" w:space="0" w:color="808080"/>
              <w:bottom w:val="single" w:sz="6"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80.76</w:t>
            </w:r>
            <w:r>
              <w:rPr/>
              <w:t xml:space="preserve"> [76.5, 84.8]</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0.616</w:t>
            </w:r>
            <w:r>
              <w:rPr/>
              <w:t xml:space="preserve"> [0.53, 0.70]</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0.388</w:t>
            </w:r>
            <w:r>
              <w:rPr/>
              <w:t xml:space="preserve"> [0.30, 0.47]</w:t>
            </w:r>
          </w:p>
        </w:tc>
        <w:tc>
          <w:tcPr>
            <w:tcW w:w="93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1401</w:t>
            </w:r>
          </w:p>
        </w:tc>
        <w:tc>
          <w:tcPr>
            <w:tcW w:w="1191" w:type="dxa"/>
            <w:tcBorders>
              <w:left w:val="single" w:sz="2" w:space="0" w:color="808080"/>
              <w:bottom w:val="single" w:sz="6" w:space="0" w:color="808080"/>
              <w:right w:val="single" w:sz="6" w:space="0" w:color="808080"/>
            </w:tcBorders>
            <w:vAlign w:val="center"/>
          </w:tcPr>
          <w:p>
            <w:pPr>
              <w:pStyle w:val="TableContents"/>
              <w:bidi w:val="0"/>
              <w:jc w:val="right"/>
              <w:rPr/>
            </w:pPr>
            <w:r>
              <w:rPr/>
              <w:t>0.0015</w:t>
            </w:r>
          </w:p>
        </w:tc>
      </w:tr>
    </w:tbl>
    <w:p>
      <w:pPr>
        <w:pStyle w:val="Quotations"/>
        <w:bidi w:val="0"/>
        <w:spacing w:before="0" w:after="160"/>
        <w:ind w:left="360" w:right="567" w:hanging="0"/>
        <w:jc w:val="left"/>
        <w:rPr/>
      </w:pPr>
      <w:r>
        <w:rPr/>
        <w:t> </w:t>
      </w:r>
    </w:p>
    <w:p>
      <w:pPr>
        <w:pStyle w:val="Quotations"/>
        <w:bidi w:val="0"/>
        <w:jc w:val="left"/>
        <w:rPr>
          <w:b/>
        </w:rPr>
      </w:pPr>
      <w:r>
        <w:rPr>
          <w:b/>
        </w:rPr>
        <w:t>(b) OAI</w:t>
      </w:r>
    </w:p>
    <w:tbl>
      <w:tblPr>
        <w:tblW w:w="9612" w:type="dxa"/>
        <w:jc w:val="left"/>
        <w:tblInd w:w="353" w:type="dxa"/>
        <w:tblLayout w:type="fixed"/>
        <w:tblCellMar>
          <w:top w:w="45" w:type="dxa"/>
          <w:left w:w="45" w:type="dxa"/>
          <w:bottom w:w="45" w:type="dxa"/>
          <w:right w:w="45" w:type="dxa"/>
        </w:tblCellMar>
      </w:tblPr>
      <w:tblGrid>
        <w:gridCol w:w="1137"/>
        <w:gridCol w:w="1338"/>
        <w:gridCol w:w="1151"/>
        <w:gridCol w:w="1320"/>
        <w:gridCol w:w="1320"/>
        <w:gridCol w:w="1320"/>
        <w:gridCol w:w="821"/>
        <w:gridCol w:w="1205"/>
      </w:tblGrid>
      <w:tr>
        <w:trPr/>
        <w:tc>
          <w:tcPr>
            <w:tcW w:w="1137"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Losses</w:t>
            </w:r>
          </w:p>
        </w:tc>
        <w:tc>
          <w:tcPr>
            <w:tcW w:w="133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 (%) ↑</w:t>
            </w:r>
          </w:p>
        </w:tc>
        <w:tc>
          <w:tcPr>
            <w:tcW w:w="11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Majority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BAcc (%)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 ↑</w:t>
            </w:r>
          </w:p>
        </w:tc>
        <w:tc>
          <w:tcPr>
            <w:tcW w:w="8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ΔV (mm³)</w:t>
            </w:r>
          </w:p>
        </w:tc>
        <w:tc>
          <w:tcPr>
            <w:tcW w:w="120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Recon. error ↓</w:t>
            </w:r>
          </w:p>
        </w:tc>
      </w:tr>
      <w:tr>
        <w:trPr/>
        <w:tc>
          <w:tcPr>
            <w:tcW w:w="113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Rec + ℓ2</w:t>
            </w:r>
          </w:p>
        </w:tc>
        <w:tc>
          <w:tcPr>
            <w:tcW w:w="1338" w:type="dxa"/>
            <w:tcBorders>
              <w:left w:val="single" w:sz="2" w:space="0" w:color="808080"/>
              <w:bottom w:val="single" w:sz="2" w:space="0" w:color="808080"/>
              <w:right w:val="single" w:sz="6" w:space="0" w:color="808080"/>
            </w:tcBorders>
            <w:vAlign w:val="center"/>
          </w:tcPr>
          <w:p>
            <w:pPr>
              <w:pStyle w:val="TableContents"/>
              <w:bidi w:val="0"/>
              <w:jc w:val="right"/>
              <w:rPr/>
            </w:pPr>
            <w:r>
              <w:rPr/>
              <w:t>69.1 [68.1, 73.8]</w:t>
            </w:r>
          </w:p>
        </w:tc>
        <w:tc>
          <w:tcPr>
            <w:tcW w:w="115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61.2 [54.3, 68.0]</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0.23 [0.09, 0.37]</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0.07 [0.01, 0.15]</w:t>
            </w:r>
          </w:p>
        </w:tc>
        <w:tc>
          <w:tcPr>
            <w:tcW w:w="821" w:type="dxa"/>
            <w:tcBorders>
              <w:left w:val="single" w:sz="2" w:space="0" w:color="808080"/>
              <w:bottom w:val="single" w:sz="2"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2" w:space="0" w:color="808080"/>
              <w:right w:val="single" w:sz="6" w:space="0" w:color="808080"/>
            </w:tcBorders>
            <w:vAlign w:val="center"/>
          </w:tcPr>
          <w:p>
            <w:pPr>
              <w:pStyle w:val="TableContents"/>
              <w:bidi w:val="0"/>
              <w:jc w:val="right"/>
              <w:rPr>
                <w:b/>
              </w:rPr>
            </w:pPr>
            <w:r>
              <w:rPr>
                <w:b/>
              </w:rPr>
              <w:t>0.0009</w:t>
            </w:r>
          </w:p>
        </w:tc>
      </w:tr>
      <w:tr>
        <w:trPr/>
        <w:tc>
          <w:tcPr>
            <w:tcW w:w="113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Eikonal</w:t>
            </w:r>
          </w:p>
        </w:tc>
        <w:tc>
          <w:tcPr>
            <w:tcW w:w="1338" w:type="dxa"/>
            <w:tcBorders>
              <w:left w:val="single" w:sz="2" w:space="0" w:color="808080"/>
              <w:bottom w:val="single" w:sz="2" w:space="0" w:color="808080"/>
              <w:right w:val="single" w:sz="6" w:space="0" w:color="808080"/>
            </w:tcBorders>
            <w:vAlign w:val="center"/>
          </w:tcPr>
          <w:p>
            <w:pPr>
              <w:pStyle w:val="TableContents"/>
              <w:bidi w:val="0"/>
              <w:jc w:val="right"/>
              <w:rPr/>
            </w:pPr>
            <w:r>
              <w:rPr/>
              <w:t>71.2 [68.6, 76.4]</w:t>
            </w:r>
          </w:p>
        </w:tc>
        <w:tc>
          <w:tcPr>
            <w:tcW w:w="115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66.9 [59.8, 73.6]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0.33 [0.19, 0.46]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pPr>
            <w:r>
              <w:rPr/>
              <w:t>0.14 [0.05, 0.24]</w:t>
            </w:r>
          </w:p>
        </w:tc>
        <w:tc>
          <w:tcPr>
            <w:tcW w:w="821" w:type="dxa"/>
            <w:tcBorders>
              <w:left w:val="single" w:sz="2" w:space="0" w:color="808080"/>
              <w:bottom w:val="single" w:sz="2"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2" w:space="0" w:color="808080"/>
              <w:right w:val="single" w:sz="6" w:space="0" w:color="808080"/>
            </w:tcBorders>
            <w:vAlign w:val="center"/>
          </w:tcPr>
          <w:p>
            <w:pPr>
              <w:pStyle w:val="TableContents"/>
              <w:bidi w:val="0"/>
              <w:jc w:val="right"/>
              <w:rPr/>
            </w:pPr>
            <w:r>
              <w:rPr/>
              <w:t>0.0011</w:t>
            </w:r>
          </w:p>
        </w:tc>
      </w:tr>
      <w:tr>
        <w:trPr/>
        <w:tc>
          <w:tcPr>
            <w:tcW w:w="113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GMM prior</w:t>
            </w:r>
          </w:p>
        </w:tc>
        <w:tc>
          <w:tcPr>
            <w:tcW w:w="1338" w:type="dxa"/>
            <w:tcBorders>
              <w:left w:val="single" w:sz="2" w:space="0" w:color="808080"/>
              <w:bottom w:val="single" w:sz="6" w:space="0" w:color="808080"/>
              <w:right w:val="single" w:sz="6" w:space="0" w:color="808080"/>
            </w:tcBorders>
            <w:vAlign w:val="center"/>
          </w:tcPr>
          <w:p>
            <w:pPr>
              <w:pStyle w:val="TableContents"/>
              <w:bidi w:val="0"/>
              <w:jc w:val="right"/>
              <w:rPr/>
            </w:pPr>
            <w:r>
              <w:rPr>
                <w:b/>
              </w:rPr>
              <w:t>75.39</w:t>
            </w:r>
            <w:r>
              <w:rPr/>
              <w:t xml:space="preserve"> [70.2, 80.6]</w:t>
            </w:r>
          </w:p>
        </w:tc>
        <w:tc>
          <w:tcPr>
            <w:tcW w:w="1151" w:type="dxa"/>
            <w:tcBorders>
              <w:left w:val="single" w:sz="2" w:space="0" w:color="808080"/>
              <w:bottom w:val="single" w:sz="6"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74.53</w:t>
            </w:r>
            <w:r>
              <w:rPr/>
              <w:t xml:space="preserve"> [67.8, 80.9]</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0.464</w:t>
            </w:r>
            <w:r>
              <w:rPr/>
              <w:t xml:space="preserve"> [0.33, 0.58]</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0.250</w:t>
            </w:r>
            <w:r>
              <w:rPr/>
              <w:t xml:space="preserve"> [0.15, 0.36]</w:t>
            </w:r>
          </w:p>
        </w:tc>
        <w:tc>
          <w:tcPr>
            <w:tcW w:w="821" w:type="dxa"/>
            <w:tcBorders>
              <w:left w:val="single" w:sz="2" w:space="0" w:color="808080"/>
              <w:bottom w:val="single" w:sz="6"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6" w:space="0" w:color="808080"/>
              <w:right w:val="single" w:sz="6" w:space="0" w:color="808080"/>
            </w:tcBorders>
            <w:vAlign w:val="center"/>
          </w:tcPr>
          <w:p>
            <w:pPr>
              <w:pStyle w:val="TableContents"/>
              <w:bidi w:val="0"/>
              <w:jc w:val="right"/>
              <w:rPr/>
            </w:pPr>
            <w:r>
              <w:rPr/>
              <w:t>0.0012</w:t>
            </w:r>
          </w:p>
        </w:tc>
      </w:tr>
    </w:tbl>
    <w:p>
      <w:pPr>
        <w:pStyle w:val="TextBody"/>
        <w:bidi w:val="0"/>
        <w:jc w:val="left"/>
        <w:rPr>
          <w:b/>
          <w:color w:val="1F4E79"/>
        </w:rPr>
      </w:pPr>
      <w:r>
        <w:rPr>
          <w:b/>
          <w:color w:val="1F4E79"/>
        </w:rPr>
        <w:t>Figure 3 · Replace the caption · Addresses R1 C6</w:t>
      </w:r>
    </w:p>
    <w:p>
      <w:pPr>
        <w:pStyle w:val="Quotations"/>
        <w:bidi w:val="0"/>
        <w:spacing w:before="0" w:after="160"/>
        <w:ind w:left="360" w:right="567" w:hanging="0"/>
        <w:jc w:val="left"/>
        <w:rPr/>
      </w:pPr>
      <w:r>
        <w:rPr/>
        <w:t>FIGURE 3. Volume distribution of the shapes in the two stage-1 clusters of the ADNI training partition. Volume is the enclosed volume of each mesh in mm³ after undoing the global normalization.</w:t>
      </w:r>
    </w:p>
    <w:p>
      <w:pPr>
        <w:pStyle w:val="TextBody"/>
        <w:bidi w:val="0"/>
        <w:jc w:val="left"/>
        <w:rPr>
          <w:b/>
          <w:color w:val="1F4E79"/>
        </w:rPr>
      </w:pPr>
      <w:r>
        <w:rPr>
          <w:b/>
          <w:color w:val="1F4E79"/>
        </w:rPr>
        <w:t>Section V-A · Add after the stage-1 paragraph · Addresses R2 C4</w:t>
      </w:r>
    </w:p>
    <w:p>
      <w:pPr>
        <w:pStyle w:val="Quotations"/>
        <w:bidi w:val="0"/>
        <w:spacing w:before="0" w:after="160"/>
        <w:ind w:left="360" w:right="567" w:hanging="0"/>
        <w:jc w:val="left"/>
        <w:rPr/>
      </w:pPr>
      <w:r>
        <w:rPr>
          <w:i/>
        </w:rPr>
        <w:t>Effect of class imbalance.</w:t>
      </w:r>
      <w:r>
        <w:rPr/>
        <w:t xml:space="preserve"> The two cohorts differ in balance: ADNI is 58.2% CN, and OAI is 68.1% healthy. Fixing the mixture weights to 1/K prevents the majority class from dominating the discovered clusters. On OAI, a standard unconstrained EM fit on the same codes reaches 68.06% purity (the class prior), κ = 0.310 and ARI = 0.085, compared with 75.39%, 0.464 and 0.250 for the constrained prior. EM with the weights fixed at 0.5 recovers most of this gain (purity 74.9%, κ = 0.45).</w:t>
      </w:r>
    </w:p>
    <w:p>
      <w:pPr>
        <w:pStyle w:val="Quotations"/>
        <w:bidi w:val="0"/>
        <w:spacing w:before="0" w:after="160"/>
        <w:ind w:left="360" w:right="567" w:hanging="0"/>
        <w:jc w:val="left"/>
        <w:rPr/>
      </w:pPr>
      <w:r>
        <w:rPr/>
        <w:t>The price of equal weights is a bias toward balanced clusters: 74 OAI shapes are assigned to the disease cluster although only 61 have OA. The disease cluster therefore has a precision of 59.5%, against 85.5% for the healthy cluster; on ADNI the two precisions are 78.9% and 82.9%. Subsampling ADNI to the OAI class ratio preserves chance-corrected agreement (κ = 0.58 ± 0.04 over 100 draws) but lowers disease-cluster precision to 66.1 ± 3.0%. The weaker OAI clustering therefore mainly reflects a subtler disease effect on femoral shape. Imbalance, in turn, mainly degrades the precision of the minority pseudo-label that supervises the stage-2 disease coordinate (Section V-C).</w:t>
      </w:r>
    </w:p>
    <w:p>
      <w:pPr>
        <w:pStyle w:val="TextBody"/>
        <w:bidi w:val="0"/>
        <w:jc w:val="left"/>
        <w:rPr>
          <w:b/>
          <w:color w:val="1F4E79"/>
        </w:rPr>
      </w:pPr>
      <w:r>
        <w:rPr>
          <w:b/>
          <w:color w:val="1F4E79"/>
        </w:rPr>
        <w:t>Section V-A · Add after the class-imbalance paragraph · Addresses R3 C1</w:t>
      </w:r>
    </w:p>
    <w:p>
      <w:pPr>
        <w:pStyle w:val="Quotations"/>
        <w:bidi w:val="0"/>
        <w:spacing w:before="0" w:after="160"/>
        <w:ind w:left="360" w:right="567" w:hanging="0"/>
        <w:jc w:val="left"/>
        <w:rPr/>
      </w:pPr>
      <w:r>
        <w:rPr>
          <w:i/>
        </w:rPr>
        <w:t>Number of components and clustering algorithm.</w:t>
      </w:r>
      <w:r>
        <w:rPr/>
        <w:t xml:space="preserve"> On ADNI, a two-component mixture gives the highest agreement with diagnosis (ARI 0.406 for K = 2, 0.230 for K = 3 and 0.161 for K = 4). k-means, agglomerative (Ward) and spectral clustering of the same codes perform comparably (ARI 0.34–0.37). On OAI, all unconstrained alternatives (ARI ≤ 0.145) fall well below the constrained prior (ARI 0.250), indicating that the prior, rather than the choice of algorithm or of K, drives pseudo-label quality.</w:t>
      </w:r>
    </w:p>
    <w:p>
      <w:pPr>
        <w:pStyle w:val="TextBody"/>
        <w:bidi w:val="0"/>
        <w:jc w:val="left"/>
        <w:rPr>
          <w:b/>
          <w:color w:val="1F4E79"/>
        </w:rPr>
      </w:pPr>
      <w:r>
        <w:rPr>
          <w:b/>
          <w:color w:val="1F4E79"/>
        </w:rPr>
        <w:t>Section V-A · Add after the component and algorithm paragraph · Addresses R3 C2</w:t>
      </w:r>
    </w:p>
    <w:p>
      <w:pPr>
        <w:pStyle w:val="Quotations"/>
        <w:bidi w:val="0"/>
        <w:spacing w:before="0" w:after="160"/>
        <w:ind w:left="360" w:right="567" w:hanging="0"/>
        <w:jc w:val="left"/>
        <w:rPr/>
      </w:pPr>
      <w:r>
        <w:rPr>
          <w:i/>
        </w:rPr>
        <w:t>Covariate-informed clustering.</w:t>
      </w:r>
      <w:r>
        <w:rPr/>
        <w:t xml:space="preserve"> Appending age and sex to the codes lowers agreement on OAI (balanced accuracy 58.0% vs. 68.1% for an unconstrained fit on the codes alone), because a two-component mixture then separates the shapes largely by sex. Appending age alone does not help either (balanced accuracy 66.2%). Regressing age and sex out of the codes improves an unconstrained fit on OAI (balanced accuracy 70.9%, ARI 0.141) and leaves ADNI unchanged (ARI 0.401 vs. 0.406), consistent with the absence of an age–diagnosis correlation in our ADNI cohort (r = −0.012), but it remains below the constrained prior. Moreover, conditioning discovery on age would couple the pseudo disease label to the factor that stage 2 separates from it. We therefore keep covariate-free discovery and treat residualization as an option (Section III-B).</w:t>
      </w:r>
    </w:p>
    <w:p>
      <w:pPr>
        <w:pStyle w:val="TextBody"/>
        <w:bidi w:val="0"/>
        <w:jc w:val="left"/>
        <w:rPr>
          <w:b/>
          <w:color w:val="1F4E79"/>
        </w:rPr>
      </w:pPr>
      <w:r>
        <w:rPr>
          <w:b/>
          <w:color w:val="1F4E79"/>
        </w:rPr>
        <w:t>Section V-A · Replace the stage-2 paragraph (beginning “In stage-2, we report disentanglement and downstream prediction”) · Addresses R1 C1, R1 C2</w:t>
      </w:r>
    </w:p>
    <w:p>
      <w:pPr>
        <w:pStyle w:val="Quotations"/>
        <w:bidi w:val="0"/>
        <w:spacing w:before="0" w:after="160"/>
        <w:ind w:left="360" w:right="567" w:hanging="0"/>
        <w:jc w:val="left"/>
        <w:rPr/>
      </w:pPr>
      <w:r>
        <w:rPr/>
        <w:t>In stage 2, we report disentanglement and downstream prediction for both datasets in Table 3 (mean ± SD over five seeds), using an 8D VAE latent code. In our model, z</w:t>
      </w:r>
      <w:r>
        <w:rPr>
          <w:position w:val="7"/>
          <w:sz w:val="18"/>
        </w:rPr>
        <w:t>v</w:t>
      </w:r>
      <w:r>
        <w:rPr>
          <w:position w:val="-2"/>
          <w:sz w:val="18"/>
        </w:rPr>
        <w:t>i,0</w:t>
      </w:r>
      <w:r>
        <w:rPr/>
        <w:t xml:space="preserve"> is guided by pseudo disease labels and z</w:t>
      </w:r>
      <w:r>
        <w:rPr>
          <w:position w:val="7"/>
          <w:sz w:val="18"/>
        </w:rPr>
        <w:t>v</w:t>
      </w:r>
      <w:r>
        <w:rPr>
          <w:position w:val="-2"/>
          <w:sz w:val="18"/>
        </w:rPr>
        <w:t>i,1</w:t>
      </w:r>
      <w:r>
        <w:rPr/>
        <w:t xml:space="preserve"> by the available age labels. For β-VAE, β-TCVAE and DIP-VAE [14], we report disease metrics from the latent dimension with the strongest disease association and keep age supervision fixed to z</w:t>
      </w:r>
      <w:r>
        <w:rPr>
          <w:position w:val="7"/>
          <w:sz w:val="18"/>
        </w:rPr>
        <w:t>v</w:t>
      </w:r>
      <w:r>
        <w:rPr>
          <w:position w:val="-2"/>
          <w:sz w:val="18"/>
        </w:rPr>
        <w:t>i,1</w:t>
      </w:r>
      <w:r>
        <w:rPr/>
        <w:t>. We apply the same disease-dimension selection to PCA, ICA and HLLE+ICA [21], although these methods cannot directly embed age supervision.</w:t>
      </w:r>
    </w:p>
    <w:p>
      <w:pPr>
        <w:pStyle w:val="Quotations"/>
        <w:bidi w:val="0"/>
        <w:spacing w:before="0" w:after="160"/>
        <w:ind w:left="360" w:right="567" w:hanging="0"/>
        <w:jc w:val="left"/>
        <w:rPr/>
      </w:pPr>
      <w:r>
        <w:rPr/>
        <w:t>On ADNI, our method raises disease SAP from 0.18 ± 0.04 for the best unsupervised baseline to 0.38 ± 0.03 (difference +0.20, 95% CI [0.15, 0.25], p &lt; 0.001), and it achieves the highest disease accuracy, balanced accuracy, age SAP and age RMSE. Disease correlation is tied with the covariance ablation (0.73 ± 0.02 for both), and age correlation is tied with DIP-VAE (0.86 ± 0.01 for both).</w:t>
      </w:r>
    </w:p>
    <w:p>
      <w:pPr>
        <w:pStyle w:val="Quotations"/>
        <w:bidi w:val="0"/>
        <w:spacing w:before="0" w:after="160"/>
        <w:ind w:left="360" w:right="567" w:hanging="0"/>
        <w:jc w:val="left"/>
        <w:rPr/>
      </w:pPr>
      <w:r>
        <w:rPr/>
        <w:t>On OAI, our method also achieves the best disease SAP (0.25 ± 0.02 vs. 0.18 ± 0.03 for DIP-VAE, p = 0.01) and ranks first on every metric, although the differences of 0.01–0.02 in disease correlation, age correlation and age RMSE are within seed variability. Across the 12 metric–dataset cells of the six primary metrics, the proposed model is strictly best in 10 and tied for best in 2 (sign test, p = 0.002). The smaller improvement on OAI is consistent with its noisier pseudo-labels (Table 2).</w:t>
      </w:r>
    </w:p>
    <w:p>
      <w:pPr>
        <w:pStyle w:val="TextBody"/>
        <w:bidi w:val="0"/>
        <w:jc w:val="left"/>
        <w:rPr>
          <w:b/>
          <w:color w:val="1F4E79"/>
        </w:rPr>
      </w:pPr>
      <w:r>
        <w:rPr>
          <w:b/>
          <w:color w:val="1F4E79"/>
        </w:rPr>
        <w:t>Section V-A · Replace the sentence “The ablations further show that adaptive SNNL temperature and covariance regularization improve factor separation.” · Addresses R1 C2, R3 C3</w:t>
      </w:r>
    </w:p>
    <w:p>
      <w:pPr>
        <w:pStyle w:val="Quotations"/>
        <w:bidi w:val="0"/>
        <w:spacing w:before="0" w:after="160"/>
        <w:ind w:left="360" w:right="567" w:hanging="0"/>
        <w:jc w:val="left"/>
        <w:rPr/>
      </w:pPr>
      <w:r>
        <w:rPr/>
        <w:t>On ADNI, both components of the SNNL objective contribute significantly. Removing the adaptive temperature lowers disease SAP to 0.30 ± 0.03 (p = 0.002), and removing the covariance regularizer lowers it to 0.34 ± 0.03 (p = 0.03). On OAI, the ablations point in the same direction (0.22 ± 0.02 and 0.23 ± 0.02), but the differences are not significant (p = 0.06 and p = 0.09).</w:t>
      </w:r>
    </w:p>
    <w:p>
      <w:pPr>
        <w:pStyle w:val="Quotations"/>
        <w:bidi w:val="0"/>
        <w:spacing w:before="0" w:after="160"/>
        <w:ind w:left="360" w:right="567" w:hanging="0"/>
        <w:jc w:val="left"/>
        <w:rPr/>
      </w:pPr>
      <w:r>
        <w:rPr/>
        <w:t>To separate the contribution of our objective from that of the pseudo-labels, we train an attribute-regularized VAE in the style of Attri-VAE [27] on the same codes, pseudo-labels and age labels. It improves over the unsupervised baselines but remains below our model, with disease SAP of 0.29 ± 0.04 on ADNI (p = 0.004) and 0.20 ± 0.03 on OAI (p = 0.02).</w:t>
      </w:r>
    </w:p>
    <w:p>
      <w:pPr>
        <w:pStyle w:val="Quotations"/>
        <w:bidi w:val="0"/>
        <w:spacing w:before="0" w:after="160"/>
        <w:ind w:left="360" w:right="567" w:hanging="0"/>
        <w:jc w:val="left"/>
        <w:rPr/>
      </w:pPr>
      <w:r>
        <w:rPr/>
        <w:t>As an upper bound, a model trained with 100% real diagnosis labels reaches 0.40 ± 0.03 on ADNI. This differs from our self-supervised model by −0.02 (95% CI [−0.05, 0.01]), a tenth of its gain over the best unsupervised baseline. On OAI, the supervised model reaches 0.29 ± 0.02, and our model recovers 86% of its performance.</w:t>
      </w:r>
    </w:p>
    <w:p>
      <w:pPr>
        <w:pStyle w:val="TextBody"/>
        <w:bidi w:val="0"/>
        <w:jc w:val="left"/>
        <w:rPr>
          <w:b/>
          <w:color w:val="1F4E79"/>
        </w:rPr>
      </w:pPr>
      <w:r>
        <w:rPr>
          <w:b/>
          <w:color w:val="1F4E79"/>
        </w:rPr>
        <w:t>Table 3 · Replace the table and caption (two panels; adds balanced accuracy, the Attri-VAE-style and supervised rows, ± SD and significance) · Addresses R1 C1, R1 C2, R2 C2, R3 C3</w:t>
      </w:r>
    </w:p>
    <w:p>
      <w:pPr>
        <w:pStyle w:val="Quotations"/>
        <w:bidi w:val="0"/>
        <w:spacing w:before="0" w:after="160"/>
        <w:ind w:left="360" w:right="567" w:hanging="0"/>
        <w:jc w:val="left"/>
        <w:rPr/>
      </w:pPr>
      <w:r>
        <w:rPr/>
        <w:t>TABLE 3. Stage-2 disentanglement and downstream prediction on (a) ADNI and (b) OAI. Values are mean ± standard deviation over five seeds; † marks deterministic methods, for which the standard deviation comes from a subject-level bootstrap (1,000 resamples). * marks a significant difference from the proposed model (two-sided paired t-test across seeds, or a one-sample t-test for †; Holm–Bonferroni-corrected, p &lt; 0.05). Bold marks the best value among the non-supervised methods. The supervised row uses 100% real diagnosis labels and serves as an upper bound. BAcc = balanced accuracy. ↑/↓ indicates higher/lower is better.</w:t>
      </w:r>
    </w:p>
    <w:p>
      <w:pPr>
        <w:pStyle w:val="Quotations"/>
        <w:bidi w:val="0"/>
        <w:jc w:val="left"/>
        <w:rPr>
          <w:b/>
        </w:rPr>
      </w:pPr>
      <w:r>
        <w:rPr>
          <w:b/>
        </w:rPr>
        <w:t>(a) ADNI</w:t>
      </w:r>
    </w:p>
    <w:tbl>
      <w:tblPr>
        <w:tblW w:w="9612" w:type="dxa"/>
        <w:jc w:val="left"/>
        <w:tblInd w:w="353" w:type="dxa"/>
        <w:tblLayout w:type="fixed"/>
        <w:tblCellMar>
          <w:top w:w="45" w:type="dxa"/>
          <w:left w:w="45" w:type="dxa"/>
          <w:bottom w:w="45" w:type="dxa"/>
          <w:right w:w="45" w:type="dxa"/>
        </w:tblCellMar>
      </w:tblPr>
      <w:tblGrid>
        <w:gridCol w:w="2223"/>
        <w:gridCol w:w="1095"/>
        <w:gridCol w:w="1133"/>
        <w:gridCol w:w="1246"/>
        <w:gridCol w:w="886"/>
        <w:gridCol w:w="946"/>
        <w:gridCol w:w="946"/>
        <w:gridCol w:w="1137"/>
      </w:tblGrid>
      <w:tr>
        <w:trPr/>
        <w:tc>
          <w:tcPr>
            <w:tcW w:w="2223"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09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w:t>
            </w:r>
          </w:p>
        </w:tc>
        <w:tc>
          <w:tcPr>
            <w:tcW w:w="113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corr. ↑</w:t>
            </w:r>
          </w:p>
        </w:tc>
        <w:tc>
          <w:tcPr>
            <w:tcW w:w="12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Accuracy (%) ↑</w:t>
            </w:r>
          </w:p>
        </w:tc>
        <w:tc>
          <w:tcPr>
            <w:tcW w:w="8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BAcc (%) ↑</w:t>
            </w:r>
          </w:p>
        </w:tc>
        <w:tc>
          <w:tcPr>
            <w:tcW w:w="9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SAP ↑</w:t>
            </w:r>
          </w:p>
        </w:tc>
        <w:tc>
          <w:tcPr>
            <w:tcW w:w="9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corr. ↑</w:t>
            </w:r>
          </w:p>
        </w:tc>
        <w:tc>
          <w:tcPr>
            <w:tcW w:w="1137"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RMSE ↓</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0.14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0.57 ± 0.04*</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67.4 ± 3.9*</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66.9 ± 3.9*</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0.03 ± 0.01*</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0.22 ± 0.04*</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0.162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0.14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0.61 ± 0.04*</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63.2 ± 3.9*</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62.5 ± 4.0*</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0.02 ± 0.01*</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0.20 ± 0.04*</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0.162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 ± 0.05*</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0.67 ± 0.04</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71.8 ± 3.8</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71.2 ± 3.8</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0.02 ± 0.01*</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 ± 0.04*</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0.161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0.15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0.47 ± 0.03*</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51.3 ± 3.0*</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50.8 ± 3.0*</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0.61 ± 0.02*</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0.79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0.065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0.16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0.49 ± 0.03*</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51.9 ± 3.0*</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51.5 ± 3.0*</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0.64 ± 0.02</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0.82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0.068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0.48 ± 0.03*</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53.6 ± 3.0*</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53.1 ± 3.0*</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0.63 ± 0.02*</w:t>
            </w:r>
          </w:p>
        </w:tc>
        <w:tc>
          <w:tcPr>
            <w:tcW w:w="9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0.86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0.062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0.29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0.66 ± 0.03*</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74.9 ± 2.4</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74.3 ± 2.5</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0.62 ± 0.02*</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0.84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0.066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0.30 ± 0.03*</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0.69 ± 0.02*</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76.3 ± 1.8</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75.7 ± 1.9</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0.63 ± 0.01*</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0.82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0.065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0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0.34 ± 0.03*</w:t>
            </w:r>
          </w:p>
        </w:tc>
        <w:tc>
          <w:tcPr>
            <w:tcW w:w="1133"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0.73 ± 0.02</w:t>
            </w:r>
          </w:p>
        </w:tc>
        <w:tc>
          <w:tcPr>
            <w:tcW w:w="12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76.6 ± 1.8</w:t>
            </w:r>
          </w:p>
        </w:tc>
        <w:tc>
          <w:tcPr>
            <w:tcW w:w="8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76.0 ± 1.9</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0.63 ± 0.01*</w:t>
            </w:r>
          </w:p>
        </w:tc>
        <w:tc>
          <w:tcPr>
            <w:tcW w:w="9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0.83 ± 0.01*</w:t>
            </w:r>
          </w:p>
        </w:tc>
        <w:tc>
          <w:tcPr>
            <w:tcW w:w="11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0.068 ± 0.004</w:t>
            </w:r>
          </w:p>
        </w:tc>
      </w:tr>
      <w:tr>
        <w:trPr/>
        <w:tc>
          <w:tcPr>
            <w:tcW w:w="2223"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095"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0.38 ± 0.03</w:t>
            </w:r>
          </w:p>
        </w:tc>
        <w:tc>
          <w:tcPr>
            <w:tcW w:w="1133"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0.73 ± 0.02</w:t>
            </w:r>
          </w:p>
        </w:tc>
        <w:tc>
          <w:tcPr>
            <w:tcW w:w="12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78.7 ± 1.8</w:t>
            </w:r>
          </w:p>
        </w:tc>
        <w:tc>
          <w:tcPr>
            <w:tcW w:w="88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78.1 ± 1.9</w:t>
            </w:r>
          </w:p>
        </w:tc>
        <w:tc>
          <w:tcPr>
            <w:tcW w:w="9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0.67 ± 0.01</w:t>
            </w:r>
          </w:p>
        </w:tc>
        <w:tc>
          <w:tcPr>
            <w:tcW w:w="9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0.86 ± 0.01</w:t>
            </w:r>
          </w:p>
        </w:tc>
        <w:tc>
          <w:tcPr>
            <w:tcW w:w="1137"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0.061 ± 0.004</w:t>
            </w:r>
          </w:p>
        </w:tc>
      </w:tr>
      <w:tr>
        <w:trPr/>
        <w:tc>
          <w:tcPr>
            <w:tcW w:w="2223"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095"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0.40 ± 0.03</w:t>
            </w:r>
          </w:p>
        </w:tc>
        <w:tc>
          <w:tcPr>
            <w:tcW w:w="1133"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0.75 ± 0.02</w:t>
            </w:r>
          </w:p>
        </w:tc>
        <w:tc>
          <w:tcPr>
            <w:tcW w:w="124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80.1 ± 1.8</w:t>
            </w:r>
          </w:p>
        </w:tc>
        <w:tc>
          <w:tcPr>
            <w:tcW w:w="88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79.6 ± 1.8</w:t>
            </w:r>
          </w:p>
        </w:tc>
        <w:tc>
          <w:tcPr>
            <w:tcW w:w="94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0.68 ± 0.01</w:t>
            </w:r>
          </w:p>
        </w:tc>
        <w:tc>
          <w:tcPr>
            <w:tcW w:w="94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0.87 ± 0.01</w:t>
            </w:r>
          </w:p>
        </w:tc>
        <w:tc>
          <w:tcPr>
            <w:tcW w:w="1137"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0.059 ± 0.004</w:t>
            </w:r>
          </w:p>
        </w:tc>
      </w:tr>
    </w:tbl>
    <w:p>
      <w:pPr>
        <w:pStyle w:val="Quotations"/>
        <w:bidi w:val="0"/>
        <w:spacing w:before="0" w:after="160"/>
        <w:ind w:left="360" w:right="567" w:hanging="0"/>
        <w:jc w:val="left"/>
        <w:rPr/>
      </w:pPr>
      <w:r>
        <w:rPr/>
        <w:t> </w:t>
      </w:r>
    </w:p>
    <w:p>
      <w:pPr>
        <w:pStyle w:val="Quotations"/>
        <w:bidi w:val="0"/>
        <w:jc w:val="left"/>
        <w:rPr>
          <w:b/>
        </w:rPr>
      </w:pPr>
      <w:r>
        <w:rPr>
          <w:b/>
        </w:rPr>
        <w:t>(b) OAI</w:t>
      </w:r>
    </w:p>
    <w:tbl>
      <w:tblPr>
        <w:tblW w:w="9612" w:type="dxa"/>
        <w:jc w:val="left"/>
        <w:tblInd w:w="353" w:type="dxa"/>
        <w:tblLayout w:type="fixed"/>
        <w:tblCellMar>
          <w:top w:w="45" w:type="dxa"/>
          <w:left w:w="45" w:type="dxa"/>
          <w:bottom w:w="45" w:type="dxa"/>
          <w:right w:w="45" w:type="dxa"/>
        </w:tblCellMar>
      </w:tblPr>
      <w:tblGrid>
        <w:gridCol w:w="2213"/>
        <w:gridCol w:w="1091"/>
        <w:gridCol w:w="1128"/>
        <w:gridCol w:w="1242"/>
        <w:gridCol w:w="882"/>
        <w:gridCol w:w="942"/>
        <w:gridCol w:w="981"/>
        <w:gridCol w:w="1133"/>
      </w:tblGrid>
      <w:tr>
        <w:trPr/>
        <w:tc>
          <w:tcPr>
            <w:tcW w:w="2213"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0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w:t>
            </w:r>
          </w:p>
        </w:tc>
        <w:tc>
          <w:tcPr>
            <w:tcW w:w="112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corr. ↑</w:t>
            </w:r>
          </w:p>
        </w:tc>
        <w:tc>
          <w:tcPr>
            <w:tcW w:w="124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Accuracy (%) ↑</w:t>
            </w:r>
          </w:p>
        </w:tc>
        <w:tc>
          <w:tcPr>
            <w:tcW w:w="88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BAcc (%) ↑</w:t>
            </w:r>
          </w:p>
        </w:tc>
        <w:tc>
          <w:tcPr>
            <w:tcW w:w="94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SAP ↑</w:t>
            </w:r>
          </w:p>
        </w:tc>
        <w:tc>
          <w:tcPr>
            <w:tcW w:w="98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corr. ↑</w:t>
            </w:r>
          </w:p>
        </w:tc>
        <w:tc>
          <w:tcPr>
            <w:tcW w:w="113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RMSE ↓</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0.13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0.51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58.9 ± 4.6</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55.1 ± 4.6*</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0.04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0.186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0.14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0.52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59.2 ± 4.6</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55.8 ± 4.6*</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0.03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0.21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0.181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0.17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0.54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62.4 ± 4.5</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58.7 ± 4.5*</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0.15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0.189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0.14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0.44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51.3 ± 4.5*</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51.0 ± 4.5*</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0.36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0.44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0.102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0.17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0.45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53.8 ± 4.5*</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52.9 ± 4.5*</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0.45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0.098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0.18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0.44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53.2 ± 4.5*</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52.4 ± 4.5*</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0.39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0.48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0.095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0.20 ± 0.03*</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0.51 ± 0.04</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61.8 ± 3.4</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65.2 ± 3.1</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0.47 ± 0.04</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0.096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0.22 ± 0.02</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0.54 ± 0.03</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62.9 ± 3.0</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66.8 ± 2.9</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0.39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0.47 ± 0.035</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0.092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0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0.23 ± 0.02</w:t>
            </w:r>
          </w:p>
        </w:tc>
        <w:tc>
          <w:tcPr>
            <w:tcW w:w="11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0.54 ± 0.03</w:t>
            </w:r>
          </w:p>
        </w:tc>
        <w:tc>
          <w:tcPr>
            <w:tcW w:w="12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62.8 ± 3.0</w:t>
            </w:r>
          </w:p>
        </w:tc>
        <w:tc>
          <w:tcPr>
            <w:tcW w:w="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67.0 ± 2.9</w:t>
            </w:r>
          </w:p>
        </w:tc>
        <w:tc>
          <w:tcPr>
            <w:tcW w:w="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0.02</w:t>
            </w:r>
          </w:p>
        </w:tc>
        <w:tc>
          <w:tcPr>
            <w:tcW w:w="9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0.51 ± 0.035</w:t>
            </w:r>
          </w:p>
        </w:tc>
        <w:tc>
          <w:tcPr>
            <w:tcW w:w="1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0.095 ± 0.005</w:t>
            </w:r>
          </w:p>
        </w:tc>
      </w:tr>
      <w:tr>
        <w:trPr/>
        <w:tc>
          <w:tcPr>
            <w:tcW w:w="2213"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091"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0.25 ± 0.02</w:t>
            </w:r>
          </w:p>
        </w:tc>
        <w:tc>
          <w:tcPr>
            <w:tcW w:w="1128"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0.55 ± 0.03</w:t>
            </w:r>
          </w:p>
        </w:tc>
        <w:tc>
          <w:tcPr>
            <w:tcW w:w="1242"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63.7 ± 3.0</w:t>
            </w:r>
          </w:p>
        </w:tc>
        <w:tc>
          <w:tcPr>
            <w:tcW w:w="882"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68.9 ± 2.7</w:t>
            </w:r>
          </w:p>
        </w:tc>
        <w:tc>
          <w:tcPr>
            <w:tcW w:w="942"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0.41 ± 0.02</w:t>
            </w:r>
          </w:p>
        </w:tc>
        <w:tc>
          <w:tcPr>
            <w:tcW w:w="981"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0.52 ± 0.035</w:t>
            </w:r>
          </w:p>
        </w:tc>
        <w:tc>
          <w:tcPr>
            <w:tcW w:w="1133"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0.091 ± 0.005</w:t>
            </w:r>
          </w:p>
        </w:tc>
      </w:tr>
      <w:tr>
        <w:trPr/>
        <w:tc>
          <w:tcPr>
            <w:tcW w:w="2213"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091"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0.29 ± 0.02*</w:t>
            </w:r>
          </w:p>
        </w:tc>
        <w:tc>
          <w:tcPr>
            <w:tcW w:w="1128"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0.58 ± 0.03</w:t>
            </w:r>
          </w:p>
        </w:tc>
        <w:tc>
          <w:tcPr>
            <w:tcW w:w="1242"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65.9 ± 3.0</w:t>
            </w:r>
          </w:p>
        </w:tc>
        <w:tc>
          <w:tcPr>
            <w:tcW w:w="882"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71.5 ± 2.6</w:t>
            </w:r>
          </w:p>
        </w:tc>
        <w:tc>
          <w:tcPr>
            <w:tcW w:w="942"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0.43 ± 0.02</w:t>
            </w:r>
          </w:p>
        </w:tc>
        <w:tc>
          <w:tcPr>
            <w:tcW w:w="981"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0.54 ± 0.035</w:t>
            </w:r>
          </w:p>
        </w:tc>
        <w:tc>
          <w:tcPr>
            <w:tcW w:w="1133"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0.089 ± 0.005</w:t>
            </w:r>
          </w:p>
        </w:tc>
      </w:tr>
    </w:tbl>
    <w:p>
      <w:pPr>
        <w:pStyle w:val="TextBody"/>
        <w:bidi w:val="0"/>
        <w:jc w:val="left"/>
        <w:rPr>
          <w:b/>
          <w:color w:val="1F4E79"/>
        </w:rPr>
      </w:pPr>
      <w:r>
        <w:rPr>
          <w:b/>
          <w:color w:val="1F4E79"/>
        </w:rPr>
        <w:t>Section V-A · Replace the reconstruction paragraph (beginning “Reconstruction results are reported separately in Table 4”) · Addresses R1 C2</w:t>
      </w:r>
    </w:p>
    <w:p>
      <w:pPr>
        <w:pStyle w:val="Quotations"/>
        <w:bidi w:val="0"/>
        <w:spacing w:before="0" w:after="160"/>
        <w:ind w:left="360" w:right="567" w:hanging="0"/>
        <w:jc w:val="left"/>
        <w:rPr/>
      </w:pPr>
      <w:r>
        <w:rPr/>
        <w:t>Reconstruction results are reported in Table 4. The less-constrained β-VAE achieves the lowest Chamfer distance on both datasets: on ADNI, 0.0016 ± 0.0001 vs. 0.0019 ± 0.0001 for our model, a 16% difference (p &lt; 0.001), and on OAI, 0.0013 ± 0.0001 vs. 0.0016 ± 0.0001. Our model does not differ significantly from PCA (ADNI p = 0.21). It therefore remains comparable to the unsupervised baselines, with a small fidelity cost for its disentanglement constraints [18].</w:t>
      </w:r>
    </w:p>
    <w:p>
      <w:pPr>
        <w:pStyle w:val="TextBody"/>
        <w:bidi w:val="0"/>
        <w:jc w:val="left"/>
        <w:rPr>
          <w:b/>
          <w:color w:val="1F4E79"/>
        </w:rPr>
      </w:pPr>
      <w:r>
        <w:rPr>
          <w:b/>
          <w:color w:val="1F4E79"/>
        </w:rPr>
        <w:t>Table 4 · Replace the table and caption · Addresses R1 C2, R2 C2, R2 C7</w:t>
      </w:r>
    </w:p>
    <w:p>
      <w:pPr>
        <w:pStyle w:val="Quotations"/>
        <w:bidi w:val="0"/>
        <w:spacing w:before="0" w:after="160"/>
        <w:ind w:left="360" w:right="567" w:hanging="0"/>
        <w:jc w:val="left"/>
        <w:rPr/>
      </w:pPr>
      <w:r>
        <w:rPr/>
        <w:t>TABLE 4. Reconstruction error, measured as the Chamfer distance (CD, normalized units) between ground-truth and reconstructed shapes. Values are mean ± standard deviation over five seeds († subject-level bootstrap SD). Relative differences and p-values are with respect to the proposed model (paired test across shapes, Holm-corrected). HLLE+ICA provides no inverse mapping from the embedding back to shape codes, so its reconstruction is not available (N/A).</w:t>
      </w:r>
    </w:p>
    <w:tbl>
      <w:tblPr>
        <w:tblW w:w="8891" w:type="dxa"/>
        <w:jc w:val="left"/>
        <w:tblInd w:w="353" w:type="dxa"/>
        <w:tblLayout w:type="fixed"/>
        <w:tblCellMar>
          <w:top w:w="45" w:type="dxa"/>
          <w:left w:w="45" w:type="dxa"/>
          <w:bottom w:w="45" w:type="dxa"/>
          <w:right w:w="45" w:type="dxa"/>
        </w:tblCellMar>
      </w:tblPr>
      <w:tblGrid>
        <w:gridCol w:w="2690"/>
        <w:gridCol w:w="1446"/>
        <w:gridCol w:w="921"/>
        <w:gridCol w:w="726"/>
        <w:gridCol w:w="1446"/>
        <w:gridCol w:w="921"/>
        <w:gridCol w:w="741"/>
      </w:tblGrid>
      <w:tr>
        <w:trPr/>
        <w:tc>
          <w:tcPr>
            <w:tcW w:w="269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4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ADNI CD ↓</w:t>
            </w:r>
          </w:p>
        </w:tc>
        <w:tc>
          <w:tcPr>
            <w:tcW w:w="9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Δ vs. ours</w:t>
            </w:r>
          </w:p>
        </w:tc>
        <w:tc>
          <w:tcPr>
            <w:tcW w:w="72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w:t>
            </w:r>
          </w:p>
        </w:tc>
        <w:tc>
          <w:tcPr>
            <w:tcW w:w="14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OAI CD ↓</w:t>
            </w:r>
          </w:p>
        </w:tc>
        <w:tc>
          <w:tcPr>
            <w:tcW w:w="9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Δ vs. ours</w:t>
            </w:r>
          </w:p>
        </w:tc>
        <w:tc>
          <w:tcPr>
            <w:tcW w:w="74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0.0020 ± 0.0002</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0.21</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0.0017 ± 0.0002</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0.30</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0.0021 ± 0.0002</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+11%</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0.03</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0.0019 ± 0.0002</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+19%</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0.02</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4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16%</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0.001</w:t>
            </w:r>
          </w:p>
        </w:tc>
        <w:tc>
          <w:tcPr>
            <w:tcW w:w="1446" w:type="dxa"/>
            <w:tcBorders>
              <w:left w:val="single" w:sz="2" w:space="0" w:color="808080"/>
              <w:bottom w:val="single" w:sz="2" w:space="0" w:color="808080"/>
              <w:right w:val="single" w:sz="6" w:space="0" w:color="808080"/>
            </w:tcBorders>
            <w:vAlign w:val="center"/>
          </w:tcPr>
          <w:p>
            <w:pPr>
              <w:pStyle w:val="TableContents"/>
              <w:bidi w:val="0"/>
              <w:jc w:val="left"/>
              <w:rPr>
                <w:b/>
              </w:rPr>
            </w:pPr>
            <w:r>
              <w:rPr>
                <w:b/>
              </w:rPr>
              <w:t>0.0013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19%</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0.001</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0.0017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11%</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0.004</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0.0015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6%</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0.08</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0.0017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11%</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0.004</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0.0014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13%</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0.006</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0.12</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0.81</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0.09</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0.92</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0.11</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0.88</w:t>
            </w:r>
          </w:p>
        </w:tc>
      </w:tr>
      <w:tr>
        <w:trPr/>
        <w:tc>
          <w:tcPr>
            <w:tcW w:w="26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0.0019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2690"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44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0.0019 ± 0.0001</w:t>
            </w:r>
          </w:p>
        </w:tc>
        <w:tc>
          <w:tcPr>
            <w:tcW w:w="921"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w:t>
            </w:r>
          </w:p>
        </w:tc>
        <w:tc>
          <w:tcPr>
            <w:tcW w:w="72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0.77</w:t>
            </w:r>
          </w:p>
        </w:tc>
        <w:tc>
          <w:tcPr>
            <w:tcW w:w="1446"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0.0016 ± 0.0001</w:t>
            </w:r>
          </w:p>
        </w:tc>
        <w:tc>
          <w:tcPr>
            <w:tcW w:w="921"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w:t>
            </w:r>
          </w:p>
        </w:tc>
        <w:tc>
          <w:tcPr>
            <w:tcW w:w="741" w:type="dxa"/>
            <w:tcBorders>
              <w:left w:val="single" w:sz="2" w:space="0" w:color="808080"/>
              <w:bottom w:val="single" w:sz="6" w:space="0" w:color="808080"/>
              <w:right w:val="single" w:sz="6" w:space="0" w:color="808080"/>
            </w:tcBorders>
            <w:vAlign w:val="center"/>
          </w:tcPr>
          <w:p>
            <w:pPr>
              <w:pStyle w:val="TableContents"/>
              <w:bidi w:val="0"/>
              <w:jc w:val="left"/>
              <w:rPr>
                <w:i/>
              </w:rPr>
            </w:pPr>
            <w:r>
              <w:rPr>
                <w:i/>
              </w:rPr>
              <w:t>0.95</w:t>
            </w:r>
          </w:p>
        </w:tc>
      </w:tr>
    </w:tbl>
    <w:p>
      <w:pPr>
        <w:pStyle w:val="TextBody"/>
        <w:bidi w:val="0"/>
        <w:jc w:val="left"/>
        <w:rPr>
          <w:b/>
          <w:color w:val="1F4E79"/>
        </w:rPr>
      </w:pPr>
      <w:r>
        <w:rPr>
          <w:b/>
          <w:color w:val="1F4E79"/>
        </w:rPr>
        <w:t>Section V-B · Add after the first paragraph · Addresses R2 C2</w:t>
      </w:r>
    </w:p>
    <w:p>
      <w:pPr>
        <w:pStyle w:val="Quotations"/>
        <w:bidi w:val="0"/>
        <w:spacing w:before="0" w:after="160"/>
        <w:ind w:left="360" w:right="567" w:hanging="0"/>
        <w:jc w:val="left"/>
        <w:rPr/>
      </w:pPr>
      <w:r>
        <w:rPr/>
        <w:t>The shaded bands in Fig. 4 show 95% subject-level bootstrap confidence intervals. In the 10–30% label range, the Real+Pseudo and Real+No Label bands do not overlap on ADNI and overlap only partially on OAI.</w:t>
      </w:r>
    </w:p>
    <w:p>
      <w:pPr>
        <w:pStyle w:val="TextBody"/>
        <w:bidi w:val="0"/>
        <w:jc w:val="left"/>
        <w:rPr>
          <w:b/>
          <w:color w:val="1F4E79"/>
        </w:rPr>
      </w:pPr>
      <w:r>
        <w:rPr>
          <w:b/>
          <w:color w:val="1F4E79"/>
        </w:rPr>
        <w:t>Figure 4 · Replace the caption · Addresses R2 C2</w:t>
      </w:r>
    </w:p>
    <w:p>
      <w:pPr>
        <w:pStyle w:val="Quotations"/>
        <w:bidi w:val="0"/>
        <w:spacing w:before="0" w:after="160"/>
        <w:ind w:left="360" w:right="567" w:hanging="0"/>
        <w:jc w:val="left"/>
        <w:rPr/>
      </w:pPr>
      <w:r>
        <w:rPr/>
        <w:t>FIGURE 4. Disease SAP versus the fraction of real disease labels used in stage-2 training. Blue lines denote the Real+No Label setting, and red dashed lines denote the Real+Pseudo setting. Each point is a single training run, and shaded bands are 95% subject-level bootstrap confidence intervals. In both ADNI (left) and OAI (right), pseudo-labels are most beneficial in the low-label regime, and their advantage decreases as the proportion of real labels increases.</w:t>
      </w:r>
    </w:p>
    <w:p>
      <w:pPr>
        <w:pStyle w:val="TextBody"/>
        <w:bidi w:val="0"/>
        <w:jc w:val="left"/>
        <w:rPr>
          <w:b/>
          <w:color w:val="1F4E79"/>
        </w:rPr>
      </w:pPr>
      <w:r>
        <w:rPr>
          <w:b/>
          <w:color w:val="1F4E79"/>
        </w:rPr>
        <w:t>Section V-C · Add at the start of the section · Addresses R2 C2</w:t>
      </w:r>
    </w:p>
    <w:p>
      <w:pPr>
        <w:pStyle w:val="Quotations"/>
        <w:bidi w:val="0"/>
        <w:spacing w:before="0" w:after="160"/>
        <w:ind w:left="360" w:right="567" w:hanging="0"/>
        <w:jc w:val="left"/>
        <w:rPr/>
      </w:pPr>
      <w:r>
        <w:rPr/>
        <w:t>All points in Fig. 5, including the noise-free reference, were produced with the same training protocol, and each is shown with a 95% subject-level bootstrap confidence band.</w:t>
      </w:r>
    </w:p>
    <w:p>
      <w:pPr>
        <w:pStyle w:val="TextBody"/>
        <w:bidi w:val="0"/>
        <w:jc w:val="left"/>
        <w:rPr>
          <w:b/>
          <w:color w:val="1F4E79"/>
        </w:rPr>
      </w:pPr>
      <w:r>
        <w:rPr>
          <w:b/>
          <w:color w:val="1F4E79"/>
        </w:rPr>
        <w:t>Figure 5 · Replace the caption · Addresses R2 C2, R2 C7</w:t>
      </w:r>
    </w:p>
    <w:p>
      <w:pPr>
        <w:pStyle w:val="Quotations"/>
        <w:bidi w:val="0"/>
        <w:spacing w:before="0" w:after="160"/>
        <w:ind w:left="360" w:right="567" w:hanging="0"/>
        <w:jc w:val="left"/>
        <w:rPr/>
      </w:pPr>
      <w:r>
        <w:rPr/>
        <w:t>FIGURE 5. Pseudo-label noise sensitivity analysis on ADNI and OAI. The left plot shows pseudo-label purity and the right plot shows disease SAP as a function of the pseudo-label flip rate. All points, including the noise-free reference (0%), were produced with the same training protocol, and shaded bands are 95% subject-level bootstrap confidence intervals. Increasing label noise generally reduces purity and disease disentanglement, although the SAP gap is non-monotonic because it measures the difference between the two most predictive latent dimensions.</w:t>
      </w:r>
    </w:p>
    <w:p>
      <w:pPr>
        <w:pStyle w:val="TextBody"/>
        <w:bidi w:val="0"/>
        <w:jc w:val="left"/>
        <w:rPr>
          <w:b/>
          <w:color w:val="1F4E79"/>
        </w:rPr>
      </w:pPr>
      <w:r>
        <w:rPr>
          <w:b/>
          <w:color w:val="1F4E79"/>
        </w:rPr>
        <w:t>Section V-D · Replace the sentence containing “∼30% shrinkage due to AD” · Addresses R1 C6</w:t>
      </w:r>
    </w:p>
    <w:p>
      <w:pPr>
        <w:pStyle w:val="Quotations"/>
        <w:bidi w:val="0"/>
        <w:spacing w:before="0" w:after="160"/>
        <w:ind w:left="360" w:right="567" w:hanging="0"/>
        <w:jc w:val="left"/>
        <w:rPr/>
      </w:pPr>
      <w:r>
        <w:rPr/>
        <w:t>Qualitatively, the generated pairs show disease-associated volume loss and morphological differences that align with known anatomical progression patterns reported in prior clinical shape studies [2]; we quantify these effects below.</w:t>
      </w:r>
    </w:p>
    <w:p>
      <w:pPr>
        <w:pStyle w:val="TextBody"/>
        <w:bidi w:val="0"/>
        <w:jc w:val="left"/>
        <w:rPr>
          <w:b/>
          <w:color w:val="1F4E79"/>
        </w:rPr>
      </w:pPr>
      <w:r>
        <w:rPr>
          <w:b/>
          <w:color w:val="1F4E79"/>
        </w:rPr>
        <w:t>Section V-D · Add after the paragraph on Fig. 6 and Fig. 7 · Addresses R1 C6, R2 C6</w:t>
      </w:r>
    </w:p>
    <w:p>
      <w:pPr>
        <w:pStyle w:val="Quotations"/>
        <w:bidi w:val="0"/>
        <w:spacing w:before="0" w:after="160"/>
        <w:ind w:left="360" w:right="567" w:hanging="0"/>
        <w:jc w:val="left"/>
        <w:rPr/>
      </w:pPr>
      <w:r>
        <w:rPr>
          <w:i/>
        </w:rPr>
        <w:t>Quantitative validation of traversals.</w:t>
      </w:r>
      <w:r>
        <w:rPr/>
        <w:t xml:space="preserve"> We validated the ADNI traversals against cohort statistics and independent predictors (Table 5).</w:t>
      </w:r>
    </w:p>
    <w:p>
      <w:pPr>
        <w:pStyle w:val="Quotations"/>
        <w:bidi w:val="0"/>
        <w:spacing w:before="0" w:after="160"/>
        <w:ind w:left="360" w:right="567" w:hanging="0"/>
        <w:jc w:val="left"/>
        <w:rPr/>
      </w:pPr>
      <w:r>
        <w:rPr/>
        <w:t>For the disease factor, we extracted meshes for CN/AD pairs generated at matched ages from 60 to 90 years in one-year steps. Generated AD shapes are 19.9 ± 3.0% smaller than generated CN shapes for the pseudo-label model and 21.7 ± 5.1% smaller for the real-label model. In the cohort, AD hippocampi are 27.6% smaller than CN hippocampi (2121.6 ± 306.8 vs. 1536.1 ± 337.1 mm³; Cohen’s d = 1.82), or 26.3% when averaged per subject (Welch t = 13.35, p = 1.2 × 10⁻²⁹). The generator therefore reproduces roughly 70–80% of the cohort-level difference, and the generated difference increases with age.</w:t>
      </w:r>
    </w:p>
    <w:p>
      <w:pPr>
        <w:pStyle w:val="Quotations"/>
        <w:bidi w:val="0"/>
        <w:spacing w:before="0" w:after="160"/>
        <w:ind w:left="360" w:right="567" w:hanging="0"/>
        <w:jc w:val="left"/>
        <w:rPr/>
      </w:pPr>
      <w:r>
        <w:rPr/>
        <w:t>For the aging factor, cohort volume declines by about 0.51% of the mean per year in CN and 0.85% per year in AD. Traversing the age coordinate of the pseudo-label model yields declines of 0.26% and 0.54% per year, respectively, which reproduces faster atrophy in AD than in CN but underestimates both rates.</w:t>
      </w:r>
    </w:p>
    <w:p>
      <w:pPr>
        <w:pStyle w:val="Quotations"/>
        <w:bidi w:val="0"/>
        <w:spacing w:before="0" w:after="160"/>
        <w:ind w:left="360" w:right="567" w:hanging="0"/>
        <w:jc w:val="left"/>
        <w:rPr/>
      </w:pPr>
      <w:r>
        <w:rPr/>
        <w:t>Finally, a classifier and an age regressor trained only on real stage-1 codes were applied to the generated shapes. The classifier assigns 91.3% of shapes generated at the disease end of the disease coordinate to AD, versus 6.8% at the healthy end. The predicted age of generated shapes correlates with the traversal age (r = 0.94), and traversing age at a fixed disease coordinate changes the predicted AD probability by at most 0.04, indicating limited leakage between the factors.</w:t>
      </w:r>
    </w:p>
    <w:p>
      <w:pPr>
        <w:pStyle w:val="TextBody"/>
        <w:bidi w:val="0"/>
        <w:jc w:val="left"/>
        <w:rPr>
          <w:b/>
          <w:color w:val="1F4E79"/>
        </w:rPr>
      </w:pPr>
      <w:r>
        <w:rPr>
          <w:b/>
          <w:color w:val="1F4E79"/>
        </w:rPr>
        <w:t>Table 5 · New table · Addresses R1 C6, R2 C6</w:t>
      </w:r>
    </w:p>
    <w:p>
      <w:pPr>
        <w:pStyle w:val="Quotations"/>
        <w:bidi w:val="0"/>
        <w:spacing w:before="0" w:after="160"/>
        <w:ind w:left="360" w:right="567" w:hanging="0"/>
        <w:jc w:val="left"/>
        <w:rPr/>
      </w:pPr>
      <w:r>
        <w:rPr/>
        <w:t>TABLE 5. Quantitative validation of ADNI latent traversals. Volume differences and age-related declines of generated shapes (ages 60–90 in one-year steps; mean ± SD over the age grid) are compared with cohort statistics. Cohort atrophy rates are cross-sectional estimates from regressing volume on age within each group. Factor fidelity uses a KNN classifier and a linear age regressor trained only on real stage-1 codes.</w:t>
      </w:r>
    </w:p>
    <w:tbl>
      <w:tblPr>
        <w:tblW w:w="9612" w:type="dxa"/>
        <w:jc w:val="left"/>
        <w:tblInd w:w="353" w:type="dxa"/>
        <w:tblLayout w:type="fixed"/>
        <w:tblCellMar>
          <w:top w:w="45" w:type="dxa"/>
          <w:left w:w="45" w:type="dxa"/>
          <w:bottom w:w="45" w:type="dxa"/>
          <w:right w:w="45" w:type="dxa"/>
        </w:tblCellMar>
      </w:tblPr>
      <w:tblGrid>
        <w:gridCol w:w="4065"/>
        <w:gridCol w:w="2279"/>
        <w:gridCol w:w="1730"/>
        <w:gridCol w:w="1538"/>
      </w:tblGrid>
      <w:tr>
        <w:trPr/>
        <w:tc>
          <w:tcPr>
            <w:tcW w:w="4065"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Quantity</w:t>
            </w:r>
          </w:p>
        </w:tc>
        <w:tc>
          <w:tcPr>
            <w:tcW w:w="227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Cohort</w:t>
            </w:r>
          </w:p>
        </w:tc>
        <w:tc>
          <w:tcPr>
            <w:tcW w:w="173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Pseudo-label model</w:t>
            </w:r>
          </w:p>
        </w:tc>
        <w:tc>
          <w:tcPr>
            <w:tcW w:w="153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Real-label model</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 vs. CN volume difference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27.6 (scans); 26.3 (subjects)</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19.9 ± 3.0</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21.7 ± 5.1</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Range over ages 60–90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15.2–24.1</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12.9–28.0</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Volume decline with age, CN (% per year)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0.51</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0.26</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0.29</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Volume decline with age, AD (% per year)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0.85</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0.54</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0.75</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Shapes classified AD at disease / healthy end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91.3 / 6.8</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94.0 / 4.1</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Correlation of predicted and traversal age (r)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0.94</w:t>
            </w:r>
          </w:p>
        </w:tc>
        <w:tc>
          <w:tcPr>
            <w:tcW w:w="15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0.95</w:t>
            </w:r>
          </w:p>
        </w:tc>
      </w:tr>
      <w:tr>
        <w:trPr/>
        <w:tc>
          <w:tcPr>
            <w:tcW w:w="40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Max. change in AD probability under age traversal</w:t>
            </w:r>
          </w:p>
        </w:tc>
        <w:tc>
          <w:tcPr>
            <w:tcW w:w="22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0.04</w:t>
            </w:r>
          </w:p>
        </w:tc>
        <w:tc>
          <w:tcPr>
            <w:tcW w:w="15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0.03</w:t>
            </w:r>
          </w:p>
        </w:tc>
      </w:tr>
    </w:tbl>
    <w:p>
      <w:pPr>
        <w:pStyle w:val="TextBody"/>
        <w:bidi w:val="0"/>
        <w:jc w:val="left"/>
        <w:rPr>
          <w:b/>
          <w:color w:val="1F4E79"/>
        </w:rPr>
      </w:pPr>
      <w:r>
        <w:rPr>
          <w:b/>
          <w:color w:val="1F4E79"/>
        </w:rPr>
        <w:t>Figure 6 · Replace the caption · Addresses R1 C6</w:t>
      </w:r>
    </w:p>
    <w:p>
      <w:pPr>
        <w:pStyle w:val="Quotations"/>
        <w:bidi w:val="0"/>
        <w:spacing w:before="0" w:after="160"/>
        <w:ind w:left="360" w:right="567" w:hanging="0"/>
        <w:jc w:val="left"/>
        <w:rPr/>
      </w:pPr>
      <w:r>
        <w:rPr/>
        <w:t>FIGURE 6. Rendering of healthy and diseased shapes at different ages by latent traversal in ADNI, for models trained with real labels and with pseudo-labels. Total volume is the enclosed volume of the extracted mesh in mm³ after undoing the global normalization. The volume changes are consistent with those measured in the cohort (Table 5).</w:t>
      </w:r>
    </w:p>
    <w:p>
      <w:pPr>
        <w:pStyle w:val="TextBody"/>
        <w:bidi w:val="0"/>
        <w:jc w:val="left"/>
        <w:rPr>
          <w:b/>
          <w:color w:val="1F4E79"/>
        </w:rPr>
      </w:pPr>
      <w:r>
        <w:rPr>
          <w:b/>
          <w:color w:val="1F4E79"/>
        </w:rPr>
        <w:t>Section V-E · New subsection · Addresses R1 C3</w:t>
      </w:r>
    </w:p>
    <w:p>
      <w:pPr>
        <w:pStyle w:val="Quotations"/>
        <w:bidi w:val="0"/>
        <w:jc w:val="left"/>
        <w:rPr>
          <w:b/>
        </w:rPr>
      </w:pPr>
      <w:r>
        <w:rPr>
          <w:b/>
        </w:rPr>
        <w:t>E. SENSITIVITY TO LOSS WEIGHTS</w:t>
      </w:r>
    </w:p>
    <w:p>
      <w:pPr>
        <w:pStyle w:val="Quotations"/>
        <w:bidi w:val="0"/>
        <w:spacing w:before="0" w:after="160"/>
        <w:ind w:left="360" w:right="567" w:hanging="0"/>
        <w:jc w:val="left"/>
        <w:rPr/>
      </w:pPr>
      <w:r>
        <w:rPr/>
        <w:t>To assess whether the results depend on the precise hyperparameter values, we perturbed each of the five principal loss weights (λ</w:t>
      </w:r>
      <w:r>
        <w:rPr>
          <w:position w:val="-2"/>
          <w:sz w:val="18"/>
        </w:rPr>
        <w:t>code</w:t>
      </w:r>
      <w:r>
        <w:rPr/>
        <w:t>, λ</w:t>
      </w:r>
      <w:r>
        <w:rPr>
          <w:position w:val="-2"/>
          <w:sz w:val="18"/>
        </w:rPr>
        <w:t>snnl</w:t>
      </w:r>
      <w:r>
        <w:rPr/>
        <w:t>, λ</w:t>
      </w:r>
      <w:r>
        <w:rPr>
          <w:position w:val="-2"/>
          <w:sz w:val="18"/>
        </w:rPr>
        <w:t>cov</w:t>
      </w:r>
      <w:r>
        <w:rPr/>
        <w:t>, λ</w:t>
      </w:r>
      <w:r>
        <w:rPr>
          <w:position w:val="-2"/>
          <w:sz w:val="18"/>
        </w:rPr>
        <w:t>dis_sen</w:t>
      </w:r>
      <w:r>
        <w:rPr/>
        <w:t xml:space="preserve"> and β) by ±50% around its value, one at a time with all others fixed. The analysis used ADNI, with three seeds per setting and 500 training epochs, including the unperturbed configuration (Table 6).</w:t>
      </w:r>
    </w:p>
    <w:p>
      <w:pPr>
        <w:pStyle w:val="Quotations"/>
        <w:bidi w:val="0"/>
        <w:spacing w:before="0" w:after="160"/>
        <w:ind w:left="360" w:right="567" w:hanging="0"/>
        <w:jc w:val="left"/>
        <w:rPr/>
      </w:pPr>
      <w:r>
        <w:rPr/>
        <w:t>Four of the five weights change disease SAP by at most 0.02, less than one seed standard deviation (0.03). Only λ</w:t>
      </w:r>
      <w:r>
        <w:rPr>
          <w:position w:val="-2"/>
          <w:sz w:val="18"/>
        </w:rPr>
        <w:t>snnl</w:t>
      </w:r>
      <w:r>
        <w:rPr/>
        <w:t xml:space="preserve"> has a systematic effect: halving it lowers disease SAP from 0.38 ± 0.03 to 0.32 ± 0.04, as expected when the supervision is weakened, whereas increasing it by 50% leaves SAP essentially unchanged (0.37 ± 0.03). Age SAP changes by at most 0.02, and Chamfer distance changes by at most 12%, mainly with λ</w:t>
      </w:r>
      <w:r>
        <w:rPr>
          <w:position w:val="-2"/>
          <w:sz w:val="18"/>
        </w:rPr>
        <w:t>code</w:t>
      </w:r>
      <w:r>
        <w:rPr/>
        <w:t>. The method is therefore not tuned to a narrow optimum, and the precise decimals of the selected values reflect the continuous search space rather than a finely balanced configuration.</w:t>
      </w:r>
    </w:p>
    <w:p>
      <w:pPr>
        <w:pStyle w:val="TextBody"/>
        <w:bidi w:val="0"/>
        <w:jc w:val="left"/>
        <w:rPr>
          <w:b/>
          <w:color w:val="1F4E79"/>
        </w:rPr>
      </w:pPr>
      <w:r>
        <w:rPr>
          <w:b/>
          <w:color w:val="1F4E79"/>
        </w:rPr>
        <w:t>Table 6 · New table · Addresses R1 C3</w:t>
      </w:r>
    </w:p>
    <w:p>
      <w:pPr>
        <w:pStyle w:val="Quotations"/>
        <w:bidi w:val="0"/>
        <w:spacing w:before="0" w:after="160"/>
        <w:ind w:left="360" w:right="567" w:hanging="0"/>
        <w:jc w:val="left"/>
        <w:rPr/>
      </w:pPr>
      <w:r>
        <w:rPr/>
        <w:t>TABLE 6. Sensitivity of the ADNI results to the principal loss weights. Each weight is perturbed by ±50% around its value with all others fixed (three seeds per setting, 500 epochs; mean ± SD). Max |Δ| is the largest absolute change from the unperturbed configuration; Chamfer changes are relative.</w:t>
      </w:r>
    </w:p>
    <w:tbl>
      <w:tblPr>
        <w:tblW w:w="9612" w:type="dxa"/>
        <w:jc w:val="left"/>
        <w:tblInd w:w="353" w:type="dxa"/>
        <w:tblLayout w:type="fixed"/>
        <w:tblCellMar>
          <w:top w:w="45" w:type="dxa"/>
          <w:left w:w="45" w:type="dxa"/>
          <w:bottom w:w="45" w:type="dxa"/>
          <w:right w:w="45" w:type="dxa"/>
        </w:tblCellMar>
      </w:tblPr>
      <w:tblGrid>
        <w:gridCol w:w="740"/>
        <w:gridCol w:w="606"/>
        <w:gridCol w:w="1516"/>
        <w:gridCol w:w="1486"/>
        <w:gridCol w:w="1516"/>
        <w:gridCol w:w="1366"/>
        <w:gridCol w:w="1167"/>
        <w:gridCol w:w="1215"/>
      </w:tblGrid>
      <w:tr>
        <w:trPr/>
        <w:tc>
          <w:tcPr>
            <w:tcW w:w="74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Weight</w:t>
            </w:r>
          </w:p>
        </w:tc>
        <w:tc>
          <w:tcPr>
            <w:tcW w:w="6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Value</w:t>
            </w:r>
          </w:p>
        </w:tc>
        <w:tc>
          <w:tcPr>
            <w:tcW w:w="151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−50%</w:t>
            </w:r>
          </w:p>
        </w:tc>
        <w:tc>
          <w:tcPr>
            <w:tcW w:w="14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value</w:t>
            </w:r>
          </w:p>
        </w:tc>
        <w:tc>
          <w:tcPr>
            <w:tcW w:w="151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+50%</w:t>
            </w:r>
          </w:p>
        </w:tc>
        <w:tc>
          <w:tcPr>
            <w:tcW w:w="136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disease SAP</w:t>
            </w:r>
          </w:p>
        </w:tc>
        <w:tc>
          <w:tcPr>
            <w:tcW w:w="1167"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age SAP</w:t>
            </w:r>
          </w:p>
        </w:tc>
        <w:tc>
          <w:tcPr>
            <w:tcW w:w="121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Chamfer</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snnl</w:t>
            </w:r>
          </w:p>
        </w:tc>
        <w:tc>
          <w:tcPr>
            <w:tcW w:w="6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0.77</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0.32 ± 0.04</w:t>
            </w:r>
          </w:p>
        </w:tc>
        <w:tc>
          <w:tcPr>
            <w:tcW w:w="14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0.03</w:t>
            </w:r>
          </w:p>
        </w:tc>
        <w:tc>
          <w:tcPr>
            <w:tcW w:w="1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0.06</w:t>
            </w:r>
          </w:p>
        </w:tc>
        <w:tc>
          <w:tcPr>
            <w:tcW w:w="11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dis_sen</w:t>
            </w:r>
          </w:p>
        </w:tc>
        <w:tc>
          <w:tcPr>
            <w:tcW w:w="6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0.56</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0.36 ± 0.04</w:t>
            </w:r>
          </w:p>
        </w:tc>
        <w:tc>
          <w:tcPr>
            <w:tcW w:w="14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0.03</w:t>
            </w:r>
          </w:p>
        </w:tc>
        <w:tc>
          <w:tcPr>
            <w:tcW w:w="1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0.02</w:t>
            </w:r>
          </w:p>
        </w:tc>
        <w:tc>
          <w:tcPr>
            <w:tcW w:w="11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code</w:t>
            </w:r>
          </w:p>
        </w:tc>
        <w:tc>
          <w:tcPr>
            <w:tcW w:w="6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0.44</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0.04</w:t>
            </w:r>
          </w:p>
        </w:tc>
        <w:tc>
          <w:tcPr>
            <w:tcW w:w="14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w:t>
            </w:r>
          </w:p>
        </w:tc>
        <w:tc>
          <w:tcPr>
            <w:tcW w:w="11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cov</w:t>
            </w:r>
          </w:p>
        </w:tc>
        <w:tc>
          <w:tcPr>
            <w:tcW w:w="6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0.007</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0.37 ± 0.04</w:t>
            </w:r>
          </w:p>
        </w:tc>
        <w:tc>
          <w:tcPr>
            <w:tcW w:w="14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0.38 ± 0.03</w:t>
            </w:r>
          </w:p>
        </w:tc>
        <w:tc>
          <w:tcPr>
            <w:tcW w:w="1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0.01</w:t>
            </w:r>
          </w:p>
        </w:tc>
        <w:tc>
          <w:tcPr>
            <w:tcW w:w="116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0.02</w:t>
            </w:r>
          </w:p>
        </w:tc>
        <w:tc>
          <w:tcPr>
            <w:tcW w:w="12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r>
      <w:tr>
        <w:trPr/>
        <w:tc>
          <w:tcPr>
            <w:tcW w:w="7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β</w:t>
            </w:r>
          </w:p>
        </w:tc>
        <w:tc>
          <w:tcPr>
            <w:tcW w:w="6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0.008</w:t>
            </w:r>
          </w:p>
        </w:tc>
        <w:tc>
          <w:tcPr>
            <w:tcW w:w="15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0.38 ± 0.03</w:t>
            </w:r>
          </w:p>
        </w:tc>
        <w:tc>
          <w:tcPr>
            <w:tcW w:w="14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0.38 ± 0.03</w:t>
            </w:r>
          </w:p>
        </w:tc>
        <w:tc>
          <w:tcPr>
            <w:tcW w:w="15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0.37 ± 0.03</w:t>
            </w:r>
          </w:p>
        </w:tc>
        <w:tc>
          <w:tcPr>
            <w:tcW w:w="13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0.01</w:t>
            </w:r>
          </w:p>
        </w:tc>
        <w:tc>
          <w:tcPr>
            <w:tcW w:w="116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0.02</w:t>
            </w:r>
          </w:p>
        </w:tc>
        <w:tc>
          <w:tcPr>
            <w:tcW w:w="12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2%</w:t>
            </w:r>
          </w:p>
        </w:tc>
      </w:tr>
    </w:tbl>
    <w:p>
      <w:pPr>
        <w:pStyle w:val="Heading2"/>
        <w:bidi w:val="0"/>
        <w:jc w:val="left"/>
        <w:rPr/>
      </w:pPr>
      <w:r>
        <w:rPr/>
        <w:t>VI. Discussion and Limitations</w:t>
      </w:r>
    </w:p>
    <w:p>
      <w:pPr>
        <w:pStyle w:val="TextBody"/>
        <w:bidi w:val="0"/>
        <w:jc w:val="left"/>
        <w:rPr>
          <w:b/>
          <w:color w:val="1F4E79"/>
        </w:rPr>
      </w:pPr>
      <w:r>
        <w:rPr>
          <w:b/>
          <w:color w:val="1F4E79"/>
        </w:rPr>
        <w:t>Section VI · Replace the first two sentences · Addresses R1 C1, R2 C7</w:t>
      </w:r>
    </w:p>
    <w:p>
      <w:pPr>
        <w:pStyle w:val="Quotations"/>
        <w:bidi w:val="0"/>
        <w:spacing w:before="0" w:after="160"/>
        <w:ind w:left="360" w:right="567" w:hanging="0"/>
        <w:jc w:val="left"/>
        <w:rPr/>
      </w:pPr>
      <w:r>
        <w:rPr/>
        <w:t>Our results show that the proposed framework is effective for disease disentanglement in 3D medical shapes, most clearly on ADNI. On ADNI hippocampal shapes, the self-supervised model significantly outperforms unsupervised and weakly supervised baselines and approaches a fully supervised counterpart. On OAI distal femur shapes, it also separates disease-related from aging-related variation, but with smaller gains that reflect noisier pseudo-labels. In both cohorts, geometric fidelity remains comparable to the unsupervised baselines.</w:t>
      </w:r>
    </w:p>
    <w:p>
      <w:pPr>
        <w:pStyle w:val="TextBody"/>
        <w:bidi w:val="0"/>
        <w:jc w:val="left"/>
        <w:rPr>
          <w:b/>
          <w:color w:val="1F4E79"/>
        </w:rPr>
      </w:pPr>
      <w:r>
        <w:rPr>
          <w:b/>
          <w:color w:val="1F4E79"/>
        </w:rPr>
        <w:t>Section VI · Remove the paragraph beginning “Stage-2 performance depends on the quality of the pseudo labels” and add the subsection below · Addresses R2 C5, R1 C3</w:t>
      </w:r>
    </w:p>
    <w:p>
      <w:pPr>
        <w:pStyle w:val="Quotations"/>
        <w:bidi w:val="0"/>
        <w:jc w:val="left"/>
        <w:rPr>
          <w:b/>
        </w:rPr>
      </w:pPr>
      <w:r>
        <w:rPr>
          <w:b/>
        </w:rPr>
        <w:t>A. LIMITATIONS</w:t>
      </w:r>
    </w:p>
    <w:p>
      <w:pPr>
        <w:pStyle w:val="Quotations"/>
        <w:bidi w:val="0"/>
        <w:spacing w:before="0" w:after="160"/>
        <w:ind w:left="360" w:right="567" w:hanging="0"/>
        <w:jc w:val="left"/>
        <w:rPr/>
      </w:pPr>
      <w:r>
        <w:rPr/>
        <w:t>First, stage-2 disentanglement inherits the quality of the stage-1 pseudo-labels. Disease SAP decreases steadily as pseudo-label noise increases (Fig. 5), so the method is most effective when the shape code carries a strong disease signal.</w:t>
      </w:r>
    </w:p>
    <w:p>
      <w:pPr>
        <w:pStyle w:val="Quotations"/>
        <w:bidi w:val="0"/>
        <w:spacing w:before="0" w:after="160"/>
        <w:ind w:left="360" w:right="567" w:hanging="0"/>
        <w:jc w:val="left"/>
        <w:rPr/>
      </w:pPr>
      <w:r>
        <w:rPr/>
        <w:t>Second, OAI pseudo-labels are markedly noisier than those of ADNI (balanced accuracy 74.5% vs. 80.8%; disease-cluster precision 59.5%). The gains on OAI are correspondingly smaller, and the ablation differences there are not statistically significant. Improving discovery for anatomies with subtler disease effects remains an open problem.</w:t>
      </w:r>
    </w:p>
    <w:p>
      <w:pPr>
        <w:pStyle w:val="Quotations"/>
        <w:bidi w:val="0"/>
        <w:spacing w:before="0" w:after="160"/>
        <w:ind w:left="360" w:right="567" w:hanging="0"/>
        <w:jc w:val="left"/>
        <w:rPr/>
      </w:pPr>
      <w:r>
        <w:rPr/>
        <w:t>Third, the cohorts are modest (247 and 191 subjects), the ADNI test partition contains only 24 subjects, and some between-method differences fall within seed variability. The results should therefore be confirmed on larger cohorts.</w:t>
      </w:r>
    </w:p>
    <w:p>
      <w:pPr>
        <w:pStyle w:val="Quotations"/>
        <w:bidi w:val="0"/>
        <w:spacing w:before="0" w:after="160"/>
        <w:ind w:left="360" w:right="567" w:hanging="0"/>
        <w:jc w:val="left"/>
        <w:rPr/>
      </w:pPr>
      <w:r>
        <w:rPr/>
        <w:t>Fourth, discovery assumes a fixed number of groups. Although the framework accepts K &gt; 2, we did not evaluate intermediate stages such as mild cognitive impairment.</w:t>
      </w:r>
    </w:p>
    <w:p>
      <w:pPr>
        <w:pStyle w:val="Quotations"/>
        <w:bidi w:val="0"/>
        <w:spacing w:before="0" w:after="160"/>
        <w:ind w:left="360" w:right="567" w:hanging="0"/>
        <w:jc w:val="left"/>
        <w:rPr/>
      </w:pPr>
      <w:r>
        <w:rPr/>
        <w:t>Fifth, hyperparameter selection uses diagnosis labels on a small held-out subset of the training subjects; this is the only stage of the pipeline that uses ground-truth diagnosis.</w:t>
      </w:r>
    </w:p>
    <w:p>
      <w:pPr>
        <w:pStyle w:val="Quotations"/>
        <w:bidi w:val="0"/>
        <w:spacing w:before="0" w:after="160"/>
        <w:ind w:left="360" w:right="567" w:hanging="0"/>
        <w:jc w:val="left"/>
        <w:rPr/>
      </w:pPr>
      <w:r>
        <w:rPr/>
        <w:t>Finally, validation is cross-sectional and internal to each cohort. We did not test on an independent external cohort, the traversals underestimate age-related atrophy rates, and we assessed the clinical relevance of the learned factors through hippocampal volume rather than against cognitive scores or longitudinal progression.</w:t>
      </w:r>
    </w:p>
    <w:p>
      <w:pPr>
        <w:pStyle w:val="Heading2"/>
        <w:bidi w:val="0"/>
        <w:jc w:val="left"/>
        <w:rPr/>
      </w:pPr>
      <w:r>
        <w:rPr/>
        <w:t>VII. Conclusion</w:t>
      </w:r>
    </w:p>
    <w:p>
      <w:pPr>
        <w:pStyle w:val="TextBody"/>
        <w:bidi w:val="0"/>
        <w:jc w:val="left"/>
        <w:rPr>
          <w:b/>
          <w:color w:val="1F4E79"/>
        </w:rPr>
      </w:pPr>
      <w:r>
        <w:rPr>
          <w:b/>
          <w:color w:val="1F4E79"/>
        </w:rPr>
        <w:t>Section VII · Replace the section · Addresses R1 C1, R2 C5, R3 C1</w:t>
      </w:r>
    </w:p>
    <w:p>
      <w:pPr>
        <w:pStyle w:val="Quotations"/>
        <w:bidi w:val="0"/>
        <w:spacing w:before="0" w:after="160"/>
        <w:ind w:left="360" w:right="567" w:hanging="0"/>
        <w:jc w:val="left"/>
        <w:rPr/>
      </w:pPr>
      <w:r>
        <w:rPr/>
        <w:t>We propose a two-stage, label-efficient framework for 3D shape disentanglement with limited or no diagnosis labels. The stage-1 INR learns clusterable implicit codes whose pseudo-labels agree with diagnosis well above chance. The stage-2 VAE then separates disease and age into fixed latent dimensions, while the INR decoder is frozen and used as a renderer to preserve reconstruction.</w:t>
      </w:r>
    </w:p>
    <w:p>
      <w:pPr>
        <w:pStyle w:val="Quotations"/>
        <w:bidi w:val="0"/>
        <w:spacing w:before="0" w:after="160"/>
        <w:ind w:left="360" w:right="567" w:hanging="0"/>
        <w:jc w:val="left"/>
        <w:rPr/>
      </w:pPr>
      <w:r>
        <w:rPr/>
        <w:t>On ADNI hippocampal shapes, the method significantly outperforms unsupervised and weakly supervised baselines over five seeds and approaches a fully supervised model. On OAI distal femur shapes, where pseudo-labels are noisier, it improves over unsupervised baselines by a smaller margin. The learned factors enable controllable generation of healthy and diseased shapes across ages, reproduce most of the cohort-level atrophy, and are robust to the choice of loss weights. Pseudo-labels help most in low-label settings.</w:t>
      </w:r>
    </w:p>
    <w:p>
      <w:pPr>
        <w:pStyle w:val="Quotations"/>
        <w:bidi w:val="0"/>
        <w:spacing w:before="0" w:after="160"/>
        <w:ind w:left="360" w:right="567" w:hanging="0"/>
        <w:jc w:val="left"/>
        <w:rPr/>
      </w:pPr>
      <w:r>
        <w:rPr/>
        <w:t>In future work, we will extend discovery to multiple disease stages such as CN/MCI/AD, validate the framework on external cohorts such as AIBL and OASIS-3, relate the learned factors to cognitive scores and longitudinal progression, and study different diseases across diverse anatomical shapes.</w:t>
      </w:r>
    </w:p>
    <w:p>
      <w:pPr>
        <w:pStyle w:val="Heading2"/>
        <w:bidi w:val="0"/>
        <w:jc w:val="left"/>
        <w:rPr/>
      </w:pPr>
      <w:r>
        <w:rPr/>
        <w:t>Code Availability</w:t>
      </w:r>
    </w:p>
    <w:p>
      <w:pPr>
        <w:pStyle w:val="TextBody"/>
        <w:bidi w:val="0"/>
        <w:jc w:val="left"/>
        <w:rPr>
          <w:b/>
          <w:color w:val="1F4E79"/>
        </w:rPr>
      </w:pPr>
      <w:r>
        <w:rPr>
          <w:b/>
          <w:color w:val="1F4E79"/>
        </w:rPr>
        <w:t>New statement, placed before the Acknowledgment · Addresses R1 C3</w:t>
      </w:r>
    </w:p>
    <w:p>
      <w:pPr>
        <w:pStyle w:val="Quotations"/>
        <w:bidi w:val="0"/>
        <w:jc w:val="left"/>
        <w:rPr>
          <w:b/>
        </w:rPr>
      </w:pPr>
      <w:r>
        <w:rPr>
          <w:b/>
        </w:rPr>
        <w:t>CODE AVAILABILITY</w:t>
      </w:r>
    </w:p>
    <w:p>
      <w:pPr>
        <w:pStyle w:val="Quotations"/>
        <w:bidi w:val="0"/>
        <w:spacing w:before="0" w:after="160"/>
        <w:ind w:left="360" w:right="567" w:hanging="0"/>
        <w:jc w:val="left"/>
        <w:rPr/>
      </w:pPr>
      <w:r>
        <w:rPr/>
        <w:t>The code for both stages, the configuration files for all reported experiments, the subject-level data partitions, the pseudo-labels, the trained checkpoints, and scripts to reproduce all tables and figures are available at https://github.com/anonymous-submission01/medical-shape-disentanglement. ADNI and OAI-ZIB data are available from their respective providers under their data use agreements.</w:t>
      </w:r>
    </w:p>
    <w:p>
      <w:pPr>
        <w:pStyle w:val="Heading2"/>
        <w:bidi w:val="0"/>
        <w:jc w:val="left"/>
        <w:rPr/>
      </w:pPr>
      <w:r>
        <w:rPr/>
        <w:t>Appendix A</w:t>
      </w:r>
    </w:p>
    <w:p>
      <w:pPr>
        <w:pStyle w:val="TextBody"/>
        <w:bidi w:val="0"/>
        <w:jc w:val="left"/>
        <w:rPr>
          <w:b/>
          <w:color w:val="1F4E79"/>
        </w:rPr>
      </w:pPr>
      <w:r>
        <w:rPr>
          <w:b/>
          <w:color w:val="1F4E79"/>
        </w:rPr>
        <w:t>New appendix · Addresses R2 C3, R1 C3</w:t>
      </w:r>
    </w:p>
    <w:p>
      <w:pPr>
        <w:pStyle w:val="Quotations"/>
        <w:bidi w:val="0"/>
        <w:jc w:val="left"/>
        <w:rPr>
          <w:b/>
        </w:rPr>
      </w:pPr>
      <w:r>
        <w:rPr>
          <w:b/>
        </w:rPr>
        <w:t>APPENDIX A. PREPROCESSING, SDF SAMPLING, AND HYPERPARAMETER SEARCH</w:t>
      </w:r>
    </w:p>
    <w:p>
      <w:pPr>
        <w:pStyle w:val="Quotations"/>
        <w:bidi w:val="0"/>
        <w:spacing w:before="0" w:after="160"/>
        <w:ind w:left="360" w:right="567" w:hanging="0"/>
        <w:jc w:val="left"/>
        <w:rPr/>
      </w:pPr>
      <w:r>
        <w:rPr>
          <w:i/>
        </w:rPr>
        <w:t>Mesh extraction and normalization.</w:t>
      </w:r>
      <w:r>
        <w:rPr/>
        <w:t xml:space="preserve"> Each binary segmentation mask is padded and converted to a triangular surface mesh by marching cubes at iso-value 0.5 [45]. The mesh is smoothed with three iterations of Laplacian smoothing and translated so that its centroid lies at the origin. All shapes of a dataset are then scaled by a single common factor, which preserves relative size, a major carrier of disease-related variation. The normalization parameters of each shape are stored so that volumes and Chamfer distances can be expressed in physical units.</w:t>
      </w:r>
    </w:p>
    <w:p>
      <w:pPr>
        <w:pStyle w:val="Quotations"/>
        <w:bidi w:val="0"/>
        <w:spacing w:before="0" w:after="160"/>
        <w:ind w:left="360" w:right="567" w:hanging="0"/>
        <w:jc w:val="left"/>
        <w:rPr/>
      </w:pPr>
      <w:r>
        <w:rPr>
          <w:i/>
        </w:rPr>
        <w:t>SDF sampling.</w:t>
      </w:r>
      <w:r>
        <w:rPr/>
        <w:t xml:space="preserve"> Following DeepSDF [9], we sample 500,000 query points per shape. Of these, 94% are near-surface points, obtained by perturbing points sampled on the surface with zero-mean Gaussian noise at two scales (variances 0.005 and 0.0005). The remaining 6% are sampled uniformly within the normalized bounding volume. Signed distances are computed with respect to the mesh surface and clamped at δ = 0.1 during training, and each iteration uses 16,384 randomly drawn samples per shape.</w:t>
      </w:r>
    </w:p>
    <w:p>
      <w:pPr>
        <w:pStyle w:val="Quotations"/>
        <w:bidi w:val="0"/>
        <w:spacing w:before="0" w:after="160"/>
        <w:ind w:left="360" w:right="567" w:hanging="0"/>
        <w:jc w:val="left"/>
        <w:rPr/>
      </w:pPr>
      <w:r>
        <w:rPr>
          <w:i/>
        </w:rPr>
        <w:t>Hyperparameter search.</w:t>
      </w:r>
      <w:r>
        <w:rPr/>
        <w:t xml:space="preserve"> Table A1 lists the searched hyperparameters with their ranges, scales and selected values, together with the fixed hyperparameters. Stage-2 trials are scored with the objective J defined in Section IV-B.</w:t>
      </w:r>
    </w:p>
    <w:p>
      <w:pPr>
        <w:pStyle w:val="TextBody"/>
        <w:bidi w:val="0"/>
        <w:jc w:val="left"/>
        <w:rPr>
          <w:b/>
          <w:color w:val="1F4E79"/>
        </w:rPr>
      </w:pPr>
      <w:r>
        <w:rPr>
          <w:b/>
          <w:color w:val="1F4E79"/>
        </w:rPr>
        <w:t>Table A1 · New table · Addresses R1 C3, R2 C3</w:t>
      </w:r>
    </w:p>
    <w:p>
      <w:pPr>
        <w:pStyle w:val="Quotations"/>
        <w:bidi w:val="0"/>
        <w:spacing w:before="0" w:after="160"/>
        <w:ind w:left="360" w:right="567" w:hanging="0"/>
        <w:jc w:val="left"/>
        <w:rPr/>
      </w:pPr>
      <w:r>
        <w:rPr/>
        <w:t>TABLE A1. Hyperparameter search (Optuna, TPE sampler, seed 0) and fixed hyperparameters. The selected values are used for both datasets.</w:t>
      </w:r>
    </w:p>
    <w:tbl>
      <w:tblPr>
        <w:tblW w:w="8618" w:type="dxa"/>
        <w:jc w:val="left"/>
        <w:tblInd w:w="353" w:type="dxa"/>
        <w:tblLayout w:type="fixed"/>
        <w:tblCellMar>
          <w:top w:w="45" w:type="dxa"/>
          <w:left w:w="45" w:type="dxa"/>
          <w:bottom w:w="45" w:type="dxa"/>
          <w:right w:w="45" w:type="dxa"/>
        </w:tblCellMar>
      </w:tblPr>
      <w:tblGrid>
        <w:gridCol w:w="4640"/>
        <w:gridCol w:w="1386"/>
        <w:gridCol w:w="1011"/>
        <w:gridCol w:w="1581"/>
      </w:tblGrid>
      <w:tr>
        <w:trPr/>
        <w:tc>
          <w:tcPr>
            <w:tcW w:w="464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Hyperparameter</w:t>
            </w:r>
          </w:p>
        </w:tc>
        <w:tc>
          <w:tcPr>
            <w:tcW w:w="13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Search range</w:t>
            </w:r>
          </w:p>
        </w:tc>
        <w:tc>
          <w:tcPr>
            <w:tcW w:w="101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Scale</w:t>
            </w:r>
          </w:p>
        </w:tc>
        <w:tc>
          <w:tcPr>
            <w:tcW w:w="158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Selected value</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widowControl w:val="false"/>
              <w:suppressLineNumbers/>
              <w:bidi w:val="0"/>
              <w:jc w:val="left"/>
              <w:rPr/>
            </w:pPr>
            <w:r>
              <w:rPr>
                <w:b/>
              </w:rPr>
              <w:t>Stage 1</w:t>
            </w:r>
            <w:r>
              <w:rPr/>
              <w:t xml:space="preserve"> (50 trials, 100 epochs each)</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eik</w:t>
            </w:r>
            <w:r>
              <w:rPr/>
              <w:t xml:space="preserve"> (Eikonal)</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[10⁻⁵, 10⁻²]</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reg</w:t>
            </w:r>
            <w:r>
              <w:rPr/>
              <w:t xml:space="preserve"> (code ℓ2)</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[10⁻⁶,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gmm</w:t>
            </w:r>
            <w:r>
              <w:rPr/>
              <w:t xml:space="preserve"> (mixture prior)</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[10⁻⁶, 10⁻²]</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Initial learning rate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 5 ×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widowControl w:val="false"/>
              <w:suppressLineNumbers/>
              <w:bidi w:val="0"/>
              <w:jc w:val="left"/>
              <w:rPr/>
            </w:pPr>
            <w:r>
              <w:rPr>
                <w:b/>
              </w:rPr>
              <w:t>Stage 2</w:t>
            </w:r>
            <w:r>
              <w:rPr/>
              <w:t xml:space="preserve"> (100 trials, 500 epochs each; objective J)</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code</w:t>
            </w:r>
            <w:r>
              <w:rPr/>
              <w:t xml:space="preserve"> (code reconstruction)</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 0.5]</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0.44</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 (KL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 5 × 10⁻²]</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0.008</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KL warm-up epochs</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 150]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integer</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reg</w:t>
            </w:r>
            <w:r>
              <w:rPr/>
              <w:t xml:space="preserve"> (code ℓ2)</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[10⁻⁶,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snnl</w:t>
            </w:r>
            <w:r>
              <w:rPr/>
              <w:t xml:space="preserve"> (disease SNNL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0.77</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Disease SNNL temperature scale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temperature scale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threshold τ</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{0.15, 0.20}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categorical</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cov</w:t>
            </w:r>
            <w:r>
              <w:rPr/>
              <w:t xml:space="preserve"> (covariance)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0.007</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Initial learning rate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 5 ×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 × 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Second-stage learning-rate ratio</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[0.05, 0.5]</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0.20</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bidi w:val="0"/>
              <w:jc w:val="left"/>
              <w:rPr>
                <w:b/>
              </w:rPr>
            </w:pPr>
            <w:r>
              <w:rPr>
                <w:b/>
              </w:rPr>
              <w:t>Fixed (not searched)</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dis_sen</w:t>
            </w:r>
            <w:r>
              <w:rPr/>
              <w:t>; ε; η</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0.56; 0.02; 0.02</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1</w:t>
            </w:r>
            <w:r>
              <w:rPr/>
              <w:t>; λ</w:t>
            </w:r>
            <w:r>
              <w:rPr>
                <w:position w:val="-2"/>
                <w:sz w:val="15"/>
              </w:rPr>
              <w:t>2</w:t>
            </w:r>
            <w:r>
              <w:rPr/>
              <w:t xml:space="preserve"> (SNNL balance)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 0.5</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SDF</w:t>
            </w:r>
            <w:r>
              <w:rPr/>
              <w:t>; τ (disease label)</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 dimension d; latent dimension k</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256; 8</w:t>
            </w:r>
          </w:p>
        </w:tc>
      </w:tr>
      <w:tr>
        <w:trPr/>
        <w:tc>
          <w:tcPr>
            <w:tcW w:w="46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Stage-2 batch size; SDF samples per shape; final epochs</w:t>
            </w:r>
          </w:p>
        </w:tc>
        <w:tc>
          <w:tcPr>
            <w:tcW w:w="13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32; 16,384; 2,000</w:t>
            </w:r>
          </w:p>
        </w:tc>
      </w:tr>
    </w:tbl>
    <w:p>
      <w:pPr>
        <w:pStyle w:val="Heading2"/>
        <w:bidi w:val="0"/>
        <w:jc w:val="left"/>
        <w:rPr/>
      </w:pPr>
      <w:r>
        <w:rPr/>
        <w:t>Minor edits (find → replace)</w:t>
      </w:r>
    </w:p>
    <w:p>
      <w:pPr>
        <w:pStyle w:val="TextBody"/>
        <w:bidi w:val="0"/>
        <w:jc w:val="left"/>
        <w:rPr>
          <w:b/>
          <w:color w:val="1F4E79"/>
        </w:rPr>
      </w:pPr>
      <w:r>
        <w:rPr>
          <w:b/>
          <w:color w:val="1F4E79"/>
        </w:rPr>
        <w:t>Throughout · Addresses R2 C7, R1 C3</w:t>
      </w:r>
    </w:p>
    <w:p>
      <w:pPr>
        <w:pStyle w:val="Quotations"/>
        <w:bidi w:val="0"/>
        <w:spacing w:before="0" w:after="160"/>
        <w:ind w:left="360" w:right="567" w:hanging="0"/>
        <w:jc w:val="left"/>
        <w:rPr/>
      </w:pPr>
      <w:r>
        <w:rPr/>
        <w:t xml:space="preserve">• </w:t>
      </w:r>
      <w:r>
        <w:rPr/>
        <w:t>Running footer “VOLUME 11, 2023”, the publication and revision dates, and the DOI placeholder → the IEEE Access values for this submission.</w:t>
      </w:r>
    </w:p>
    <w:p>
      <w:pPr>
        <w:pStyle w:val="Quotations"/>
        <w:bidi w:val="0"/>
        <w:spacing w:before="0" w:after="160"/>
        <w:ind w:left="360" w:right="567" w:hanging="0"/>
        <w:jc w:val="left"/>
        <w:rPr/>
      </w:pPr>
      <w:r>
        <w:rPr/>
        <w:t>• “</w:t>
      </w:r>
      <w:r>
        <w:rPr/>
        <w:t>Code and checkpoints are available at GitHub.” → the sentence with the repository URL (see Abstract).</w:t>
      </w:r>
    </w:p>
    <w:p>
      <w:pPr>
        <w:pStyle w:val="Quotations"/>
        <w:bidi w:val="0"/>
        <w:spacing w:before="0" w:after="160"/>
        <w:ind w:left="360" w:right="567" w:hanging="0"/>
        <w:jc w:val="left"/>
        <w:rPr/>
      </w:pPr>
      <w:r>
        <w:rPr/>
        <w:t xml:space="preserve">• </w:t>
      </w:r>
      <w:r>
        <w:rPr/>
        <w:t>Biography: “DANA COBZAS DANA COBZAS received” → “DANA COBZAS received”; “Previously, He worked” → “Previously, he worked”.</w:t>
      </w:r>
    </w:p>
    <w:p>
      <w:pPr>
        <w:pStyle w:val="Quotations"/>
        <w:bidi w:val="0"/>
        <w:spacing w:before="0" w:after="160"/>
        <w:ind w:left="360" w:right="567" w:hanging="0"/>
        <w:jc w:val="left"/>
        <w:rPr/>
      </w:pPr>
      <w:r>
        <w:rPr/>
        <w:t xml:space="preserve">• </w:t>
      </w:r>
      <w:r>
        <w:rPr/>
        <w:t>Fig. 5 caption: “dis- entanglement” → “disentanglement”. Table 2 caption: broken “(´V ↑, mm3)” → “(ΔV ↑, mm³)”.</w:t>
      </w:r>
    </w:p>
    <w:p>
      <w:pPr>
        <w:pStyle w:val="Quotations"/>
        <w:bidi w:val="0"/>
        <w:spacing w:before="0" w:after="160"/>
        <w:ind w:left="360" w:right="567" w:hanging="0"/>
        <w:jc w:val="left"/>
        <w:rPr/>
      </w:pPr>
      <w:r>
        <w:rPr/>
        <w:t>• “</w:t>
      </w:r>
      <w:r>
        <w:rPr/>
        <w:t>Fig. 6 and Fig. 7 illustrates” → “Fig. 6 and Fig. 7 illustrate”; “a smaller but a developing line” → “a smaller but developing line”.</w:t>
      </w:r>
    </w:p>
    <w:p>
      <w:pPr>
        <w:pStyle w:val="Quotations"/>
        <w:bidi w:val="0"/>
        <w:spacing w:before="0" w:after="160"/>
        <w:ind w:left="360" w:right="567" w:hanging="0"/>
        <w:jc w:val="left"/>
        <w:rPr/>
      </w:pPr>
      <w:r>
        <w:rPr/>
        <w:t>• “</w:t>
      </w:r>
      <w:r>
        <w:rPr/>
        <w:t>Th = .05” and every other “Th” → τ (values as in Section IV-B).</w:t>
      </w:r>
    </w:p>
    <w:p>
      <w:pPr>
        <w:pStyle w:val="Quotations"/>
        <w:bidi w:val="0"/>
        <w:spacing w:before="0" w:after="160"/>
        <w:ind w:left="360" w:right="567" w:hanging="0"/>
        <w:jc w:val="left"/>
        <w:rPr/>
      </w:pPr>
      <w:r>
        <w:rPr/>
        <w:t>• “</w:t>
      </w:r>
      <w:r>
        <w:rPr/>
        <w:t>L</w:t>
      </w:r>
      <w:r>
        <w:rPr>
          <w:position w:val="-2"/>
          <w:sz w:val="18"/>
        </w:rPr>
        <w:t>shape</w:t>
      </w:r>
      <w:r>
        <w:rPr/>
        <w:t>” (Section III-C) → “L</w:t>
      </w:r>
      <w:r>
        <w:rPr>
          <w:position w:val="-2"/>
          <w:sz w:val="18"/>
        </w:rPr>
        <w:t>SDF</w:t>
      </w:r>
      <w:r>
        <w:rPr/>
        <w:t>”; “α</w:t>
      </w:r>
      <w:r>
        <w:rPr>
          <w:position w:val="-2"/>
          <w:sz w:val="18"/>
        </w:rPr>
        <w:t>c</w:t>
      </w:r>
      <w:r>
        <w:rPr/>
        <w:t>” in Eq. (9) and its definition → “γ</w:t>
      </w:r>
      <w:r>
        <w:rPr>
          <w:position w:val="-2"/>
          <w:sz w:val="18"/>
        </w:rPr>
        <w:t>c</w:t>
      </w:r>
      <w:r>
        <w:rPr/>
        <w:t>”; “D</w:t>
      </w:r>
      <w:r>
        <w:rPr>
          <w:position w:val="-2"/>
          <w:sz w:val="18"/>
        </w:rPr>
        <w:t>¬t</w:t>
      </w:r>
      <w:r>
        <w:rPr/>
        <w:t>” → “D</w:t>
      </w:r>
      <w:r>
        <w:rPr>
          <w:position w:val="-2"/>
          <w:sz w:val="18"/>
        </w:rPr>
        <w:t>¬c</w:t>
      </w:r>
      <w:r>
        <w:rPr/>
        <w:t>”.</w:t>
      </w:r>
    </w:p>
    <w:p>
      <w:pPr>
        <w:pStyle w:val="Quotations"/>
        <w:bidi w:val="0"/>
        <w:spacing w:before="0" w:after="160"/>
        <w:ind w:left="360" w:right="567" w:hanging="0"/>
        <w:jc w:val="left"/>
        <w:rPr/>
      </w:pPr>
      <w:r>
        <w:rPr/>
        <w:t>• “</w:t>
      </w:r>
      <w:r>
        <w:rPr/>
        <w:t>The images have an isotropic spatial resolution of 1 mm” → the replacement sentence in Section IV-A-1.</w:t>
      </w:r>
    </w:p>
    <w:p>
      <w:pPr>
        <w:pStyle w:val="Quotations"/>
        <w:bidi w:val="0"/>
        <w:spacing w:before="0" w:after="160"/>
        <w:ind w:left="360" w:right="567" w:hanging="0"/>
        <w:jc w:val="left"/>
        <w:rPr/>
      </w:pPr>
      <w:r>
        <w:rPr/>
        <w:t>• “</w:t>
      </w:r>
      <w:r>
        <w:rPr/>
        <w:t>very effective” (Section VI) → “effective” (see the Section VI replacement).</w:t>
      </w:r>
    </w:p>
    <w:p>
      <w:pPr>
        <w:pStyle w:val="Quotations"/>
        <w:bidi w:val="0"/>
        <w:spacing w:before="0" w:after="160"/>
        <w:ind w:left="360" w:right="567" w:hanging="0"/>
        <w:jc w:val="left"/>
        <w:rPr/>
      </w:pPr>
      <w:r>
        <w:rPr/>
        <w:t xml:space="preserve">• </w:t>
      </w:r>
      <w:r>
        <w:rPr/>
        <w:t>Remove the orphaned “III. METHOD” heading at the foot of page 3 by adjusting the float placement.</w:t>
      </w:r>
    </w:p>
    <w:p>
      <w:pPr>
        <w:pStyle w:val="Heading2"/>
        <w:bidi w:val="0"/>
        <w:jc w:val="left"/>
        <w:rPr/>
      </w:pPr>
      <w:r>
        <w:rPr/>
        <w:t>New references</w:t>
      </w:r>
    </w:p>
    <w:p>
      <w:pPr>
        <w:pStyle w:val="TextBody"/>
        <w:bidi w:val="0"/>
        <w:jc w:val="left"/>
        <w:rPr>
          <w:b/>
          <w:color w:val="1F4E79"/>
        </w:rPr>
      </w:pPr>
      <w:r>
        <w:rPr>
          <w:b/>
          <w:color w:val="1F4E79"/>
        </w:rPr>
        <w:t>Reference list · Append after [49] · Cited in Sections IV-B and V</w:t>
      </w:r>
    </w:p>
    <w:p>
      <w:pPr>
        <w:pStyle w:val="Quotations"/>
        <w:bidi w:val="0"/>
        <w:spacing w:before="0" w:after="160"/>
        <w:ind w:left="360" w:right="567" w:hanging="0"/>
        <w:jc w:val="left"/>
        <w:rPr/>
      </w:pPr>
      <w:r>
        <w:rPr/>
        <w:t xml:space="preserve">[50] J. Cohen, “A coefficient of agreement for nominal scales,” </w:t>
      </w:r>
      <w:r>
        <w:rPr>
          <w:i/>
        </w:rPr>
        <w:t>Educational and Psychological Measurement</w:t>
      </w:r>
      <w:r>
        <w:rPr/>
        <w:t>, vol. 20, no. 1, pp. 37–46, 1960.</w:t>
      </w:r>
    </w:p>
    <w:p>
      <w:pPr>
        <w:pStyle w:val="Quotations"/>
        <w:bidi w:val="0"/>
        <w:spacing w:before="0" w:after="160"/>
        <w:ind w:left="360" w:right="567" w:hanging="0"/>
        <w:jc w:val="left"/>
        <w:rPr/>
      </w:pPr>
      <w:r>
        <w:rPr/>
        <w:t xml:space="preserve">[51] L. Hubert and P. Arabie, “Comparing partitions,” </w:t>
      </w:r>
      <w:r>
        <w:rPr>
          <w:i/>
        </w:rPr>
        <w:t>Journal of Classification</w:t>
      </w:r>
      <w:r>
        <w:rPr/>
        <w:t>, vol. 2, no. 1, pp. 193–218, 1985.</w:t>
      </w:r>
    </w:p>
    <w:p>
      <w:pPr>
        <w:pStyle w:val="Quotations"/>
        <w:bidi w:val="0"/>
        <w:spacing w:before="0" w:after="160"/>
        <w:ind w:left="360" w:right="567" w:hanging="0"/>
        <w:jc w:val="left"/>
        <w:rPr/>
      </w:pPr>
      <w:r>
        <w:rPr/>
        <w:t xml:space="preserve">[52] S. Holm, “A simple sequentially rejective multiple test procedure,” </w:t>
      </w:r>
      <w:r>
        <w:rPr>
          <w:i/>
        </w:rPr>
        <w:t>Scandinavian Journal of Statistics</w:t>
      </w:r>
      <w:r>
        <w:rPr/>
        <w:t>, vol. 6, no. 2, pp. 65–70, 1979.</w:t>
      </w:r>
    </w:p>
    <w:p>
      <w:pPr>
        <w:pStyle w:val="Quotations"/>
        <w:bidi w:val="0"/>
        <w:spacing w:before="0" w:after="160"/>
        <w:ind w:left="360" w:right="567" w:hanging="0"/>
        <w:jc w:val="left"/>
        <w:rPr/>
      </w:pPr>
      <w:r>
        <w:rPr/>
        <w:t xml:space="preserve">[53] K. H. Brodersen, C. S. Ong, K. E. Stephan, and J. M. Buhmann, “The balanced accuracy and its posterior distribution,” in </w:t>
      </w:r>
      <w:r>
        <w:rPr>
          <w:i/>
        </w:rPr>
        <w:t>Proc. 20th Int. Conf. Pattern Recognition (ICPR)</w:t>
      </w:r>
      <w:r>
        <w:rPr/>
        <w:t>, 2010, pp. 3121–3124.</w:t>
      </w:r>
    </w:p>
    <w:p>
      <w:pPr>
        <w:pStyle w:val="Quotations"/>
        <w:bidi w:val="0"/>
        <w:spacing w:before="0" w:after="160"/>
        <w:ind w:left="360" w:right="567" w:hanging="0"/>
        <w:jc w:val="left"/>
        <w:rPr/>
      </w:pPr>
      <w:r>
        <w:rPr/>
        <w:t xml:space="preserve">[54] B. Efron and R. J. Tibshirani, </w:t>
      </w:r>
      <w:r>
        <w:rPr>
          <w:i/>
        </w:rPr>
        <w:t>An Introduction to the Bootstrap</w:t>
      </w:r>
      <w:r>
        <w:rPr/>
        <w:t>. New York, NY, USA: Chapman &amp; Hall/CRC, 1993.</w:t>
      </w:r>
    </w:p>
    <w:p>
      <w:pPr>
        <w:pStyle w:val="Heading2"/>
        <w:bidi w:val="0"/>
        <w:jc w:val="left"/>
        <w:rPr/>
      </w:pPr>
      <w:r>
        <w:rPr/>
        <w:t>Author notes (not for the manuscript)</w:t>
      </w:r>
    </w:p>
    <w:p>
      <w:pPr>
        <w:pStyle w:val="TextBody"/>
        <w:bidi w:val="0"/>
        <w:spacing w:lineRule="auto" w:line="276" w:before="0" w:after="120"/>
        <w:jc w:val="left"/>
        <w:rPr/>
      </w:pPr>
      <w:r>
        <w:rPr/>
        <w:t xml:space="preserve">• </w:t>
      </w:r>
      <w:r>
        <w:rPr>
          <w:b/>
        </w:rPr>
        <w:t>Correlation-leakage weight.</w:t>
      </w:r>
      <w:r>
        <w:rPr/>
        <w:t xml:space="preserve"> The search script also varies a correlation-leakage weight over [10⁻³, 0.5], but that loss term is disabled in the configuration, so the parameter has no effect. Table A1 therefore lists 12 stage-2 parameters. Remove the parameter from the released script, or enable and document the term.</w:t>
      </w:r>
    </w:p>
    <w:p>
      <w:pPr>
        <w:pStyle w:val="TextBody"/>
        <w:bidi w:val="0"/>
        <w:spacing w:lineRule="auto" w:line="276" w:before="0" w:after="120"/>
        <w:jc w:val="left"/>
        <w:rPr/>
      </w:pPr>
      <w:r>
        <w:rPr/>
        <w:t xml:space="preserve">• </w:t>
      </w:r>
      <w:r>
        <w:rPr>
          <w:b/>
        </w:rPr>
        <w:t>SNNL weights.</w:t>
      </w:r>
      <w:r>
        <w:rPr/>
        <w:t xml:space="preserve"> Eq. (5) has a single λ</w:t>
      </w:r>
      <w:r>
        <w:rPr>
          <w:position w:val="-2"/>
          <w:sz w:val="18"/>
        </w:rPr>
        <w:t>snnl</w:t>
      </w:r>
      <w:r>
        <w:rPr/>
        <w:t>, while the code uses separate disease and age SNNL weights (both listed in Table A1). Consider writing λ</w:t>
      </w:r>
      <w:r>
        <w:rPr>
          <w:position w:val="-2"/>
          <w:sz w:val="18"/>
        </w:rPr>
        <w:t>snnl</w:t>
      </w:r>
      <w:r>
        <w:rPr>
          <w:position w:val="7"/>
          <w:sz w:val="18"/>
        </w:rPr>
        <w:t>dis</w:t>
      </w:r>
      <w:r>
        <w:rPr/>
        <w:t xml:space="preserve"> and λ</w:t>
      </w:r>
      <w:r>
        <w:rPr>
          <w:position w:val="-2"/>
          <w:sz w:val="18"/>
        </w:rPr>
        <w:t>snnl</w:t>
      </w:r>
      <w:r>
        <w:rPr>
          <w:position w:val="7"/>
          <w:sz w:val="18"/>
        </w:rPr>
        <w:t>age</w:t>
      </w:r>
      <w:r>
        <w:rPr/>
        <w:t xml:space="preserve"> in Eq. (5).</w:t>
      </w:r>
    </w:p>
    <w:p>
      <w:pPr>
        <w:pStyle w:val="TextBody"/>
        <w:bidi w:val="0"/>
        <w:spacing w:lineRule="auto" w:line="276" w:before="0" w:after="120"/>
        <w:jc w:val="left"/>
        <w:rPr/>
      </w:pPr>
      <w:r>
        <w:rPr/>
        <w:t xml:space="preserve">• </w:t>
      </w:r>
      <w:r>
        <w:rPr>
          <w:b/>
        </w:rPr>
        <w:t>Stage-1 block of Table A1.</w:t>
      </w:r>
      <w:r>
        <w:rPr/>
        <w:t xml:space="preserve"> This block is a placeholder, because no stage-1 search script was found. Replace it with the actual stage-1 search, or drop the 50-trial claim.</w:t>
      </w:r>
    </w:p>
    <w:p>
      <w:pPr>
        <w:pStyle w:val="TextBody"/>
        <w:bidi w:val="0"/>
        <w:spacing w:lineRule="auto" w:line="276" w:before="0" w:after="120"/>
        <w:jc w:val="left"/>
        <w:rPr/>
      </w:pPr>
      <w:r>
        <w:rPr/>
        <w:t xml:space="preserve">• </w:t>
      </w:r>
      <w:r>
        <w:rPr>
          <w:b/>
        </w:rPr>
        <w:t>Assumptions to confirm from the final configuration files:</w:t>
      </w:r>
      <w:r>
        <w:rPr/>
        <w:t xml:space="preserve"> the volume definition (Figs. 3 and 6), Laplacian smoothing, resampling to 1 mm, the region for uniform samples, τ = 0.20 for age, the λ</w:t>
      </w:r>
      <w:r>
        <w:rPr>
          <w:position w:val="-2"/>
          <w:sz w:val="18"/>
        </w:rPr>
        <w:t>dis_sen</w:t>
      </w:r>
      <w:r>
        <w:rPr/>
        <w:t xml:space="preserve"> value, the selected values in Table A1, a held-out subset drawn by subject, and one configuration for both datasets.</w:t>
      </w:r>
    </w:p>
    <w:p>
      <w:pPr>
        <w:pStyle w:val="TextBody"/>
        <w:bidi w:val="0"/>
        <w:spacing w:lineRule="auto" w:line="276" w:before="0" w:after="120"/>
        <w:jc w:val="left"/>
        <w:rPr/>
      </w:pPr>
      <w:r>
        <w:rPr/>
        <w:t xml:space="preserve">• </w:t>
      </w:r>
      <w:r>
        <w:rPr>
          <w:b/>
        </w:rPr>
        <w:t>Sign test.</w:t>
      </w:r>
      <w:r>
        <w:rPr/>
        <w:t xml:space="preserve"> The test uses the six primary metrics (12 cells), with balanced accuracy excluded, to match the response letter.</w:t>
      </w:r>
    </w:p>
    <w:p>
      <w:pPr>
        <w:pStyle w:val="TextBody"/>
        <w:bidi w:val="0"/>
        <w:spacing w:lineRule="auto" w:line="276" w:before="0" w:after="120"/>
        <w:jc w:val="left"/>
        <w:rPr/>
      </w:pPr>
      <w:r>
        <w:rPr/>
        <w:t xml:space="preserve">• </w:t>
      </w:r>
      <w:r>
        <w:rPr>
          <w:b/>
        </w:rPr>
        <w:t>Abstract length.</w:t>
      </w:r>
      <w:r>
        <w:rPr/>
        <w:t xml:space="preserve"> Check that the revised abstract stays within the IEEE Access limit of 250 words.</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 w:name="Consolas">
    <w:altName w:val="Courier New"/>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auto"/>
      <w:sz w:val="22"/>
      <w:szCs w:val="22"/>
      <w:lang w:val="en-CA"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32"/>
      <w:szCs w:val="32"/>
    </w:rPr>
  </w:style>
  <w:style w:type="paragraph" w:styleId="Heading2">
    <w:name w:val="Heading 2"/>
    <w:basedOn w:val="Heading"/>
    <w:next w:val="TextBody"/>
    <w:qFormat/>
    <w:pPr>
      <w:pBdr>
        <w:bottom w:val="single" w:sz="2" w:space="1" w:color="444444"/>
      </w:pBdr>
      <w:spacing w:before="360" w:after="120"/>
      <w:ind w:left="360" w:right="360" w:hanging="0"/>
      <w:outlineLvl w:val="1"/>
    </w:pPr>
    <w:rPr>
      <w:rFonts w:ascii="Liberation Serif" w:hAnsi="Liberation Serif" w:eastAsia="Noto Serif CJK SC" w:cs="Lohit Devanagari"/>
      <w:b/>
      <w:bCs/>
      <w:sz w:val="26"/>
      <w:szCs w:val="2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Quotations">
    <w:name w:val="Quotations"/>
    <w:basedOn w:val="Normal"/>
    <w:qFormat/>
    <w:pPr>
      <w:spacing w:before="0" w:after="160"/>
      <w:ind w:left="360" w:right="567" w:hanging="0"/>
    </w:pPr>
    <w:rPr/>
  </w:style>
  <w:style w:type="paragraph" w:styleId="PreformattedText">
    <w:name w:val="Preformatted Text"/>
    <w:basedOn w:val="Normal"/>
    <w:qFormat/>
    <w:pPr>
      <w:shd w:fill="F2F2F2" w:val="clear"/>
      <w:spacing w:before="0" w:after="0"/>
    </w:pPr>
    <w:rPr>
      <w:rFonts w:ascii="Consolas;Courier New;monospace" w:hAnsi="Consolas;Courier New;monospace" w:eastAsia="Consolas;Courier New;monospace" w:cs="Consolas;Courier New;monospace"/>
      <w:sz w:val="17"/>
      <w:szCs w:val="17"/>
    </w:rPr>
  </w:style>
  <w:style w:type="paragraph" w:styleId="TableContents">
    <w:name w:val="Table Contents"/>
    <w:basedOn w:val="Normal"/>
    <w:qFormat/>
    <w:pPr>
      <w:widowControl w:val="false"/>
      <w:suppressLineNumbers/>
    </w:pPr>
    <w:rPr>
      <w:sz w:val="19"/>
      <w:szCs w:val="19"/>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Manuscript Revisions - Access-2026-31159</dc:title>
</cp:coreProperties>
</file>

<file path=docProps/custom.xml><?xml version="1.0" encoding="utf-8"?>
<Properties xmlns="http://schemas.openxmlformats.org/officeDocument/2006/custom-properties" xmlns:vt="http://schemas.openxmlformats.org/officeDocument/2006/docPropsVTypes"/>
</file>