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7" w:type="dxa"/>
        <w:tblLayout w:type="fixed"/>
        <w:tblCellMar>
          <w:top w:w="120" w:type="dxa"/>
          <w:left w:w="120" w:type="dxa"/>
          <w:bottom w:w="120" w:type="dxa"/>
          <w:right w:w="12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spacing w:before="0" w:after="283"/>
              <w:jc w:val="left"/>
              <w:rPr>
                <w:b/>
              </w:rPr>
            </w:pPr>
            <w:r>
              <w:rPr>
                <w:b/>
              </w:rPr>
              <w:t>AUTHOR NOTE — DELETE THIS BOX AND EVERY GREY BOX BEFORE SUBMISSION</w:t>
            </w:r>
          </w:p>
          <w:p>
            <w:pPr>
              <w:pStyle w:val="TableContents"/>
              <w:bidi w:val="0"/>
              <w:spacing w:before="0" w:after="283"/>
              <w:jc w:val="left"/>
              <w:rPr/>
            </w:pPr>
            <w:r>
              <w:rPr>
                <w:b/>
              </w:rPr>
              <w:t>How to use this draft.</w:t>
            </w:r>
            <w:r>
              <w:rPr/>
              <w:t xml:space="preserve"> Every reviewer comment is answered in the IEEE Access format (a) concern, (b) response, (c) action. Three markers show what is still open:</w:t>
            </w:r>
          </w:p>
          <w:p>
            <w:pPr>
              <w:pStyle w:val="TableContents"/>
              <w:bidi w:val="0"/>
              <w:spacing w:before="0" w:after="283"/>
              <w:jc w:val="left"/>
              <w:rPr/>
            </w:pPr>
            <w:r>
              <w:rPr>
                <w:shd w:fill="FFFF00" w:val="clear"/>
              </w:rPr>
              <w:t>[FILL: ...]</w:t>
            </w:r>
            <w:r>
              <w:rPr/>
              <w:t xml:space="preserve"> — a number or outcome that comes from a new experiment. Search the document for "FILL" to find every one.</w:t>
            </w:r>
          </w:p>
          <w:p>
            <w:pPr>
              <w:pStyle w:val="TableContents"/>
              <w:bidi w:val="0"/>
              <w:spacing w:before="0" w:after="283"/>
              <w:jc w:val="left"/>
              <w:rPr/>
            </w:pPr>
            <w:r>
              <w:rPr>
                <w:shd w:fill="C6EFCE" w:val="clear"/>
              </w:rPr>
              <w:t>green-highlighted values</w:t>
            </w:r>
            <w:r>
              <w:rPr/>
              <w:t xml:space="preserve"> — already measured from the current artifacts. Keep them if stage-1 and the pseudo-labels are unchanged; recompute them with the same scripts if the updated code retrains stage-1. Remove the green highlight before submission.</w:t>
            </w:r>
          </w:p>
          <w:p>
            <w:pPr>
              <w:pStyle w:val="TableContents"/>
              <w:bidi w:val="0"/>
              <w:spacing w:before="0" w:after="283"/>
              <w:jc w:val="left"/>
              <w:rPr/>
            </w:pPr>
            <w:r>
              <w:rPr>
                <w:shd w:fill="FFFF00" w:val="clear"/>
              </w:rPr>
              <w:t>[VERIFY: ...]</w:t>
            </w:r>
            <w:r>
              <w:rPr/>
              <w:t xml:space="preserve"> — a factual statement about the pipeline that must be checked against the final code before it goes to the reviewers.</w:t>
            </w:r>
          </w:p>
          <w:p>
            <w:pPr>
              <w:pStyle w:val="TableContents"/>
              <w:bidi w:val="0"/>
              <w:spacing w:before="0" w:after="283"/>
              <w:jc w:val="left"/>
              <w:rPr/>
            </w:pPr>
            <w:r>
              <w:rPr/>
              <w:t xml:space="preserve">Each comment carries a status line: </w:t>
            </w:r>
            <w:r>
              <w:rPr>
                <w:b/>
                <w:color w:val="1F6F43"/>
              </w:rPr>
              <w:t>FINAL</w:t>
            </w:r>
            <w:r>
              <w:rPr/>
              <w:t xml:space="preserve"> (text and data ready), </w:t>
            </w:r>
            <w:r>
              <w:rPr>
                <w:b/>
                <w:color w:val="B26B00"/>
              </w:rPr>
              <w:t>NEEDS RESULT</w:t>
            </w:r>
            <w:r>
              <w:rPr/>
              <w:t xml:space="preserve"> (text ready, numbers pending), </w:t>
            </w:r>
            <w:r>
              <w:rPr>
                <w:b/>
                <w:color w:val="B00020"/>
              </w:rPr>
              <w:t>DECISION</w:t>
            </w:r>
            <w:r>
              <w:rPr/>
              <w:t xml:space="preserve"> (wording depends on an outcome; alternatives are given in the grey note). Each grey note also says what goes into the </w:t>
            </w:r>
            <w:r>
              <w:rPr>
                <w:b/>
              </w:rPr>
              <w:t>paper</w:t>
            </w:r>
            <w:r>
              <w:rPr/>
              <w:t xml:space="preserve">, what stays in the </w:t>
            </w:r>
            <w:r>
              <w:rPr>
                <w:b/>
              </w:rPr>
              <w:t>response only</w:t>
            </w:r>
            <w:r>
              <w:rPr/>
              <w:t xml:space="preserve">, and what to </w:t>
            </w:r>
            <w:r>
              <w:rPr>
                <w:b/>
              </w:rPr>
              <w:t>leave out</w:t>
            </w:r>
            <w:r>
              <w:rPr/>
              <w:t>. A consolidated checklist is at the end.</w:t>
            </w:r>
          </w:p>
        </w:tc>
      </w:tr>
    </w:tbl>
    <w:p>
      <w:pPr>
        <w:pStyle w:val="TextBody"/>
        <w:bidi w:val="0"/>
        <w:spacing w:lineRule="auto" w:line="276" w:before="0" w:after="120"/>
        <w:jc w:val="left"/>
        <w:rPr/>
      </w:pPr>
      <w:r>
        <w:rPr/>
        <w:t> </w:t>
      </w:r>
    </w:p>
    <w:p>
      <w:pPr>
        <w:pStyle w:val="Heading1"/>
        <w:bidi w:val="0"/>
        <w:rPr/>
      </w:pPr>
      <w:r>
        <w:rPr/>
        <w:t>Response to Reviewers</w:t>
      </w:r>
    </w:p>
    <w:p>
      <w:pPr>
        <w:pStyle w:val="TextBody"/>
        <w:bidi w:val="0"/>
        <w:jc w:val="center"/>
        <w:rPr/>
      </w:pPr>
      <w:r>
        <w:rPr>
          <w:b/>
        </w:rPr>
        <w:t>Manuscript ID:</w:t>
      </w:r>
      <w:r>
        <w:rPr/>
        <w:t xml:space="preserve"> Access-2026-31159</w:t>
        <w:br/>
      </w:r>
      <w:r>
        <w:rPr>
          <w:b/>
        </w:rPr>
        <w:t>Title:</w:t>
      </w:r>
      <w:r>
        <w:rPr/>
        <w:t xml:space="preserve"> Self-supervised Disentanglement of Disease Effects from Aging in 3D Medical Shapes</w:t>
        <w:br/>
      </w:r>
      <w:r>
        <w:rPr>
          <w:b/>
        </w:rPr>
        <w:t>Authors:</w:t>
      </w:r>
      <w:r>
        <w:rPr/>
        <w:t xml:space="preserve"> Jakaria Rabbi, Nilanjan Ray, Dana Cobzas</w:t>
        <w:br/>
      </w:r>
      <w:r>
        <w:rPr>
          <w:b/>
        </w:rPr>
        <w:t>Date:</w:t>
      </w:r>
      <w:r>
        <w:rPr/>
        <w:t xml:space="preserve"> </w:t>
      </w:r>
      <w:r>
        <w:rPr>
          <w:shd w:fill="FFFF00" w:val="clear"/>
        </w:rPr>
        <w:t>[FILL: submission date]</w:t>
      </w:r>
    </w:p>
    <w:p>
      <w:pPr>
        <w:pStyle w:val="TextBody"/>
        <w:bidi w:val="0"/>
        <w:spacing w:lineRule="auto" w:line="276" w:before="0" w:after="120"/>
        <w:jc w:val="left"/>
        <w:rPr/>
      </w:pPr>
      <w:r>
        <w:rPr/>
        <w:t> </w:t>
      </w:r>
    </w:p>
    <w:p>
      <w:pPr>
        <w:pStyle w:val="TextBody"/>
        <w:bidi w:val="0"/>
        <w:spacing w:lineRule="auto" w:line="276" w:before="0" w:after="120"/>
        <w:jc w:val="left"/>
        <w:rPr/>
      </w:pPr>
      <w:r>
        <w:rPr/>
        <w:t>Dear Associate Editor and Reviewers,</w:t>
      </w:r>
    </w:p>
    <w:p>
      <w:pPr>
        <w:pStyle w:val="TextBody"/>
        <w:bidi w:val="0"/>
        <w:spacing w:lineRule="auto" w:line="276" w:before="0" w:after="120"/>
        <w:jc w:val="left"/>
        <w:rPr/>
      </w:pPr>
      <w:r>
        <w:rPr/>
        <w:t>We thank the Associate Editor and the three reviewers for their careful reading of our manuscript and for their constructive comments. All three reviewers found that the work contributes to the field. Reviewer 1 raised concerns about technical soundness, centred on statistical rigor, the strength of the claims for the OAI cohort, and reproducibility. Reviewers 2 and 3 asked for additional analyses and clarifications. We have addressed every comment, and all changes are highlighted in yellow in the Highlighted PDF. The principal revisions are:</w:t>
      </w:r>
    </w:p>
    <w:p>
      <w:pPr>
        <w:pStyle w:val="TextBody"/>
        <w:bidi w:val="0"/>
        <w:spacing w:lineRule="auto" w:line="276" w:before="0" w:after="120"/>
        <w:jc w:val="left"/>
        <w:rPr/>
      </w:pPr>
      <w:r>
        <w:rPr>
          <w:b/>
        </w:rPr>
        <w:t>1. Statistical reporting (R1.2, R2.2).</w:t>
      </w:r>
      <w:r>
        <w:rPr/>
        <w:t xml:space="preserve"> All stage-2 results in Tables 3 and 4 are now reported as mean ± standard deviation over five random seeds. Deterministic methods are reported with subject-level bootstrap intervals. We added paired significance tests with Holm correction, and we revised every claim where a difference falls within seed variability.</w:t>
      </w:r>
    </w:p>
    <w:p>
      <w:pPr>
        <w:pStyle w:val="TextBody"/>
        <w:bidi w:val="0"/>
        <w:spacing w:lineRule="auto" w:line="276" w:before="0" w:after="120"/>
        <w:jc w:val="left"/>
        <w:rPr/>
      </w:pPr>
      <w:r>
        <w:rPr>
          <w:b/>
        </w:rPr>
        <w:t>2. Chance-corrected evaluation of pseudo-labels (R1.1).</w:t>
      </w:r>
      <w:r>
        <w:rPr/>
        <w:t xml:space="preserve"> Stage-1 clustering is now reported against the majority-class baseline together with balanced accuracy, Cohen's κ, the adjusted Rand index, normalized mutual information and Fisher's exact test. The claim of near-supervised performance is now restricted to ADNI.</w:t>
      </w:r>
    </w:p>
    <w:p>
      <w:pPr>
        <w:pStyle w:val="TextBody"/>
        <w:bidi w:val="0"/>
        <w:spacing w:lineRule="auto" w:line="276" w:before="0" w:after="120"/>
        <w:jc w:val="left"/>
        <w:rPr/>
      </w:pPr>
      <w:r>
        <w:rPr>
          <w:b/>
        </w:rPr>
        <w:t>3. Reproducibility (R1.3, R2.3).</w:t>
      </w:r>
      <w:r>
        <w:rPr/>
        <w:t xml:space="preserve"> The public repository URL is now given. We report the full hyperparameter search space, the sampler and the exact selection objective, and a one-at-a-time sensitivity analysis of the loss weights.</w:t>
      </w:r>
    </w:p>
    <w:p>
      <w:pPr>
        <w:pStyle w:val="TextBody"/>
        <w:bidi w:val="0"/>
        <w:spacing w:lineRule="auto" w:line="276" w:before="0" w:after="120"/>
        <w:jc w:val="left"/>
        <w:rPr/>
      </w:pPr>
      <w:r>
        <w:rPr>
          <w:b/>
        </w:rPr>
        <w:t>4. New analyses (R1.6, R2.1, R2.4, R2.6, R3.1–R3.3).</w:t>
      </w:r>
      <w:r>
        <w:rPr/>
        <w:t xml:space="preserve"> We added a patient-level split audit, an analysis of diagnosis imbalance, a sweep over the number of mixture components and alternative clustering algorithms, covariate-informed clustering, a quantitative validation of the latent traversals against cohort statistics, a fully supervised upper-bound row, and </w:t>
      </w:r>
      <w:r>
        <w:rPr>
          <w:shd w:fill="FFFF00" w:val="clear"/>
        </w:rPr>
        <w:t>[FILL: an attribute-regularized weakly supervised baseline — delete if not run]</w:t>
      </w:r>
      <w:r>
        <w:rPr/>
        <w:t>.</w:t>
      </w:r>
    </w:p>
    <w:p>
      <w:pPr>
        <w:pStyle w:val="TextBody"/>
        <w:bidi w:val="0"/>
        <w:spacing w:lineRule="auto" w:line="276" w:before="0" w:after="120"/>
        <w:jc w:val="left"/>
        <w:rPr/>
      </w:pPr>
      <w:r>
        <w:rPr>
          <w:b/>
        </w:rPr>
        <w:t>5. Corrections (R1.4, R1.5, R2.1, R2.5, R2.7).</w:t>
      </w:r>
      <w:r>
        <w:rPr/>
        <w:t xml:space="preserve"> We corrected the equations, notation, stated dimensions, split proportions and template metadata, and expanded the limitations section.</w:t>
      </w:r>
    </w:p>
    <w:p>
      <w:pPr>
        <w:pStyle w:val="TextBody"/>
        <w:bidi w:val="0"/>
        <w:spacing w:lineRule="auto" w:line="276" w:before="0" w:after="120"/>
        <w:jc w:val="left"/>
        <w:rPr/>
      </w:pPr>
      <w:r>
        <w:rPr/>
        <w:t>Our point-by-point responses follow. Reviewer comments are reproduced verbatim. Section, table, figure and equation numbers refer to the revised manuscript unless stated otherwise.</w:t>
      </w:r>
    </w:p>
    <w:p>
      <w:pPr>
        <w:pStyle w:val="Heading2"/>
        <w:bidi w:val="0"/>
        <w:jc w:val="left"/>
        <w:rPr/>
      </w:pPr>
      <w:r>
        <w:rPr/>
        <w:t>Reviewer 1</w:t>
      </w:r>
    </w:p>
    <w:p>
      <w:pPr>
        <w:pStyle w:val="Heading3"/>
        <w:bidi w:val="0"/>
        <w:jc w:val="left"/>
        <w:rPr/>
      </w:pPr>
      <w:r>
        <w:rPr/>
        <w:t>Comment 1.1 — Purity, majority-class baseline, and the OAI claims</w:t>
      </w:r>
    </w:p>
    <w:tbl>
      <w:tblPr>
        <w:tblW w:w="5000" w:type="pct"/>
        <w:jc w:val="left"/>
        <w:tblInd w:w="-7" w:type="dxa"/>
        <w:tblLayout w:type="fixed"/>
        <w:tblCellMar>
          <w:top w:w="90" w:type="dxa"/>
          <w:left w:w="90" w:type="dxa"/>
          <w:bottom w:w="90" w:type="dxa"/>
          <w:right w:w="90" w:type="dxa"/>
        </w:tblCellMar>
      </w:tblPr>
      <w:tblGrid>
        <w:gridCol w:w="1790"/>
        <w:gridCol w:w="8748"/>
      </w:tblGrid>
      <w:tr>
        <w:trPr/>
        <w:tc>
          <w:tcPr>
            <w:tcW w:w="1790"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8"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b/>
                <w:color w:val="1F6F43"/>
              </w:rPr>
              <w:t>FINAL</w:t>
            </w:r>
            <w:r>
              <w:rPr/>
              <w:t xml:space="preserve"> for the GMM row · </w:t>
            </w:r>
            <w:r>
              <w:rPr>
                <w:b/>
                <w:color w:val="B26B00"/>
              </w:rPr>
              <w:t>NEEDS RESULT</w:t>
            </w:r>
            <w:r>
              <w:rPr/>
              <w:t xml:space="preserve"> for the Rec + ℓ2 and + Eikonal rows of Table 2 · </w:t>
            </w:r>
            <w:r>
              <w:rPr>
                <w:b/>
                <w:color w:val="B00020"/>
              </w:rPr>
              <w:t>DECISION</w:t>
            </w:r>
            <w:r>
              <w:rPr/>
              <w:t xml:space="preserve"> for the OAI wording</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8"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"Purity is only moderate, especially on OAI, and the downstream consequences deserve more honest framing. Stage-1 purity is 82.4% on ADNI and 73.7% on OAI. A 73.7% pure pseudo-label is close to the class prior on a 130/61 split, which raises the question of how much real disease signal the OAI clustering actually recovers beyond majority assignment. Please report the majority-class baseline for purity on both datasets so the reader can judge how far above chance the clustering is. The OAI results throughout are weak enough (disease SAP of 0.25, accuracy of 63.7%) that the claim of "near-supervised performance" is hard to support for that cohort."</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 agree that purity is not chance-corrected and is inflated under class imbalance, so on its own it cannot show how much disease signal the clustering recovers. We now report the majority-class baseline together with four chance-corrected measures:</w:t>
            </w:r>
          </w:p>
          <w:tbl>
            <w:tblPr>
              <w:tblW w:w="6767" w:type="dxa"/>
              <w:jc w:val="left"/>
              <w:tblInd w:w="-7" w:type="dxa"/>
              <w:tblLayout w:type="fixed"/>
              <w:tblCellMar>
                <w:top w:w="60" w:type="dxa"/>
                <w:left w:w="60" w:type="dxa"/>
                <w:bottom w:w="60" w:type="dxa"/>
                <w:right w:w="60" w:type="dxa"/>
              </w:tblCellMar>
            </w:tblPr>
            <w:tblGrid>
              <w:gridCol w:w="3890"/>
              <w:gridCol w:w="1431"/>
              <w:gridCol w:w="1446"/>
            </w:tblGrid>
            <w:tr>
              <w:trPr/>
              <w:tc>
                <w:tcPr>
                  <w:tcW w:w="389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Statistic</w:t>
                  </w:r>
                </w:p>
              </w:tc>
              <w:tc>
                <w:tcPr>
                  <w:tcW w:w="143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ADNI</w:t>
                  </w:r>
                </w:p>
              </w:tc>
              <w:tc>
                <w:tcPr>
                  <w:tcW w:w="14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w:t>
                  </w:r>
                </w:p>
              </w:tc>
            </w:tr>
            <w:tr>
              <w:trPr/>
              <w:tc>
                <w:tcPr>
                  <w:tcW w:w="38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Pseudo-label purity</w:t>
                  </w:r>
                </w:p>
              </w:tc>
              <w:tc>
                <w:tcPr>
                  <w:tcW w:w="1431"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81.18%</w:t>
                  </w:r>
                </w:p>
              </w:tc>
              <w:tc>
                <w:tcPr>
                  <w:tcW w:w="1446"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75.39%</w:t>
                  </w:r>
                </w:p>
              </w:tc>
            </w:tr>
            <w:tr>
              <w:trPr/>
              <w:tc>
                <w:tcPr>
                  <w:tcW w:w="38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Majority-class baseline</w:t>
                  </w:r>
                </w:p>
              </w:tc>
              <w:tc>
                <w:tcPr>
                  <w:tcW w:w="1431"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56.47%</w:t>
                  </w:r>
                </w:p>
              </w:tc>
              <w:tc>
                <w:tcPr>
                  <w:tcW w:w="1446"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68.06%</w:t>
                  </w:r>
                </w:p>
              </w:tc>
            </w:tr>
            <w:tr>
              <w:trPr/>
              <w:tc>
                <w:tcPr>
                  <w:tcW w:w="38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Balanced accuracy (chance = 50%)</w:t>
                  </w:r>
                </w:p>
              </w:tc>
              <w:tc>
                <w:tcPr>
                  <w:tcW w:w="1431"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80.76%</w:t>
                  </w:r>
                </w:p>
              </w:tc>
              <w:tc>
                <w:tcPr>
                  <w:tcW w:w="1446"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74.53%</w:t>
                  </w:r>
                </w:p>
              </w:tc>
            </w:tr>
            <w:tr>
              <w:trPr/>
              <w:tc>
                <w:tcPr>
                  <w:tcW w:w="38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Cohen's κ</w:t>
                  </w:r>
                </w:p>
              </w:tc>
              <w:tc>
                <w:tcPr>
                  <w:tcW w:w="1431"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0.616</w:t>
                  </w:r>
                </w:p>
              </w:tc>
              <w:tc>
                <w:tcPr>
                  <w:tcW w:w="1446"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0.464</w:t>
                  </w:r>
                </w:p>
              </w:tc>
            </w:tr>
            <w:tr>
              <w:trPr/>
              <w:tc>
                <w:tcPr>
                  <w:tcW w:w="38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Adjusted Rand index</w:t>
                  </w:r>
                </w:p>
              </w:tc>
              <w:tc>
                <w:tcPr>
                  <w:tcW w:w="1431"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0.388</w:t>
                  </w:r>
                </w:p>
              </w:tc>
              <w:tc>
                <w:tcPr>
                  <w:tcW w:w="1446"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0.250</w:t>
                  </w:r>
                </w:p>
              </w:tc>
            </w:tr>
            <w:tr>
              <w:trPr/>
              <w:tc>
                <w:tcPr>
                  <w:tcW w:w="38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Normalized mutual information</w:t>
                  </w:r>
                </w:p>
              </w:tc>
              <w:tc>
                <w:tcPr>
                  <w:tcW w:w="1431"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0.296</w:t>
                  </w:r>
                </w:p>
              </w:tc>
              <w:tc>
                <w:tcPr>
                  <w:tcW w:w="1446"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0.171</w:t>
                  </w:r>
                </w:p>
              </w:tc>
            </w:tr>
            <w:tr>
              <w:trPr/>
              <w:tc>
                <w:tcPr>
                  <w:tcW w:w="389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Fisher's exact test (cluster vs. diagnosis)</w:t>
                  </w:r>
                </w:p>
              </w:tc>
              <w:tc>
                <w:tcPr>
                  <w:tcW w:w="1431" w:type="dxa"/>
                  <w:tcBorders>
                    <w:left w:val="single" w:sz="2" w:space="0" w:color="808080"/>
                    <w:bottom w:val="single" w:sz="6" w:space="0" w:color="808080"/>
                    <w:right w:val="single" w:sz="6" w:space="0" w:color="808080"/>
                  </w:tcBorders>
                  <w:vAlign w:val="center"/>
                </w:tcPr>
                <w:p>
                  <w:pPr>
                    <w:pStyle w:val="TableContents"/>
                    <w:bidi w:val="0"/>
                    <w:jc w:val="right"/>
                    <w:rPr>
                      <w:shd w:fill="C6EFCE" w:val="clear"/>
                    </w:rPr>
                  </w:pPr>
                  <w:r>
                    <w:rPr>
                      <w:shd w:fill="C6EFCE" w:val="clear"/>
                    </w:rPr>
                    <w:t>p = 7.1×10⁻⁶³</w:t>
                  </w:r>
                </w:p>
              </w:tc>
              <w:tc>
                <w:tcPr>
                  <w:tcW w:w="1446" w:type="dxa"/>
                  <w:tcBorders>
                    <w:left w:val="single" w:sz="2" w:space="0" w:color="808080"/>
                    <w:bottom w:val="single" w:sz="6" w:space="0" w:color="808080"/>
                    <w:right w:val="single" w:sz="6" w:space="0" w:color="808080"/>
                  </w:tcBorders>
                  <w:vAlign w:val="center"/>
                </w:tcPr>
                <w:p>
                  <w:pPr>
                    <w:pStyle w:val="TableContents"/>
                    <w:bidi w:val="0"/>
                    <w:jc w:val="right"/>
                    <w:rPr>
                      <w:shd w:fill="C6EFCE" w:val="clear"/>
                    </w:rPr>
                  </w:pPr>
                  <w:r>
                    <w:rPr>
                      <w:shd w:fill="C6EFCE" w:val="clear"/>
                    </w:rPr>
                    <w:t>p = 1.4×10⁻¹⁰</w:t>
                  </w:r>
                </w:p>
              </w:tc>
            </w:tr>
          </w:tbl>
          <w:p>
            <w:pPr>
              <w:pStyle w:val="TableContents"/>
              <w:bidi w:val="0"/>
              <w:spacing w:before="0" w:after="283"/>
              <w:jc w:val="left"/>
              <w:rPr/>
            </w:pPr>
            <w:r>
              <w:rPr/>
              <w:t> </w:t>
            </w:r>
          </w:p>
          <w:p>
            <w:pPr>
              <w:pStyle w:val="TableContents"/>
              <w:bidi w:val="0"/>
              <w:spacing w:before="0" w:after="283"/>
              <w:jc w:val="left"/>
              <w:rPr/>
            </w:pPr>
            <w:r>
              <w:rPr/>
              <w:t xml:space="preserve">On ADNI, the clustering exceeds the majority-class baseline by </w:t>
            </w:r>
            <w:r>
              <w:rPr>
                <w:shd w:fill="C6EFCE" w:val="clear"/>
              </w:rPr>
              <w:t>24.7</w:t>
            </w:r>
            <w:r>
              <w:rPr/>
              <w:t xml:space="preserve"> percentage points. On OAI, the reviewer is correct that the purity gain is small (</w:t>
            </w:r>
            <w:r>
              <w:rPr>
                <w:shd w:fill="C6EFCE" w:val="clear"/>
              </w:rPr>
              <w:t>+7.3</w:t>
            </w:r>
            <w:r>
              <w:rPr/>
              <w:t xml:space="preserve"> points). However, the clustering is not majority assignment. A rule that assigns every shape to the majority class reaches 68.06% purity but only 50% balanced accuracy and κ = 0. Our clusters recover </w:t>
            </w:r>
            <w:r>
              <w:rPr>
                <w:shd w:fill="C6EFCE" w:val="clear"/>
              </w:rPr>
              <w:t>44 of 61</w:t>
            </w:r>
            <w:r>
              <w:rPr/>
              <w:t xml:space="preserve"> OA shapes (sensitivity </w:t>
            </w:r>
            <w:r>
              <w:rPr>
                <w:shd w:fill="C6EFCE" w:val="clear"/>
              </w:rPr>
              <w:t>72.1%</w:t>
            </w:r>
            <w:r>
              <w:rPr/>
              <w:t xml:space="preserve">) and </w:t>
            </w:r>
            <w:r>
              <w:rPr>
                <w:shd w:fill="C6EFCE" w:val="clear"/>
              </w:rPr>
              <w:t>100 of 130</w:t>
            </w:r>
            <w:r>
              <w:rPr/>
              <w:t xml:space="preserve"> healthy shapes (specificity </w:t>
            </w:r>
            <w:r>
              <w:rPr>
                <w:shd w:fill="C6EFCE" w:val="clear"/>
              </w:rPr>
              <w:t>76.9%</w:t>
            </w:r>
            <w:r>
              <w:rPr/>
              <w:t>). This gives a balanced accuracy of 74.5% and moderate agreement (κ = 0.464), and Fisher's exact test rejects independence of cluster and diagnosis. The OAI clustering therefore recovers a real disease signal, but a considerably noisier one than on ADNI, and the revised manuscript says so explicitly.</w:t>
            </w:r>
          </w:p>
          <w:p>
            <w:pPr>
              <w:pStyle w:val="TableContents"/>
              <w:bidi w:val="0"/>
              <w:spacing w:before="0" w:after="283"/>
              <w:jc w:val="left"/>
              <w:rPr/>
            </w:pPr>
            <w:r>
              <w:rPr/>
              <w:t xml:space="preserve">We also agree that "near-supervised performance" is not supported for OAI. The claim is now restricted to ADNI, where the self-supervised model comes within </w:t>
            </w:r>
            <w:r>
              <w:rPr>
                <w:shd w:fill="FFFF00" w:val="clear"/>
              </w:rPr>
              <w:t>[FILL: Δ]</w:t>
            </w:r>
            <w:r>
              <w:rPr/>
              <w:t xml:space="preserve"> of the fully supervised model on disease SAP (</w:t>
            </w:r>
            <w:r>
              <w:rPr>
                <w:shd w:fill="FFFF00" w:val="clear"/>
              </w:rPr>
              <w:t>[FILL: mean ± SD]</w:t>
            </w:r>
            <w:r>
              <w:rPr/>
              <w:t xml:space="preserve"> vs. </w:t>
            </w:r>
            <w:r>
              <w:rPr>
                <w:shd w:fill="FFFF00" w:val="clear"/>
              </w:rPr>
              <w:t>[FILL: mean ± SD]</w:t>
            </w:r>
            <w:r>
              <w:rPr/>
              <w:t xml:space="preserve">; 95% CI of the difference </w:t>
            </w:r>
            <w:r>
              <w:rPr>
                <w:shd w:fill="FFFF00" w:val="clear"/>
              </w:rPr>
              <w:t>[FILL]</w:t>
            </w:r>
            <w:r>
              <w:rPr/>
              <w:t>; see Comment 3.3). OAI is now presented as a harder cross-disease setting in which pseudo-labels are noisier and the gains over unsupervised baselines are smaller. Finally, plain accuracy on OAI (63.67%) falls below the 68.06% majority rate and is therefore uninformative on its own. We now report balanced accuracy for downstream disease classification in Table 3.</w:t>
            </w:r>
          </w:p>
        </w:tc>
      </w:tr>
      <w:tr>
        <w:trPr/>
        <w:tc>
          <w:tcPr>
            <w:tcW w:w="179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 </w:t>
            </w:r>
            <w:r>
              <w:rPr/>
              <w:t>Table 2 extended with the majority-class baseline, balanced accuracy, Cohen's κ and ARI for all three loss configurations and both datasets.</w:t>
              <w:br/>
              <w:t>• New paragraph in Section V-A interpreting the chance-corrected statistics.</w:t>
              <w:br/>
              <w:t>• Table 3: disease classification is reported as balanced accuracy.</w:t>
              <w:br/>
              <w:t>• "Near-supervised" removed for OAI in the Abstract, Contributions, Section V-A, Section VI and Section VII.</w:t>
            </w:r>
          </w:p>
          <w:p>
            <w:pPr>
              <w:pStyle w:val="TableContents"/>
              <w:bidi w:val="0"/>
              <w:spacing w:before="0" w:after="283"/>
              <w:jc w:val="left"/>
              <w:rPr/>
            </w:pPr>
            <w:r>
              <w:rPr>
                <w:b/>
              </w:rPr>
              <w:t>Revised abstract sentence (proposed):</w:t>
            </w:r>
            <w:r>
              <w:rPr/>
              <w:t xml:space="preserve"> </w:t>
            </w:r>
            <w:r>
              <w:rPr>
                <w:i/>
              </w:rPr>
              <w:t xml:space="preserve">"On ADNI hippocampal shapes, the method </w:t>
            </w:r>
            <w:r>
              <w:rPr>
                <w:i/>
                <w:shd w:fill="FFFF00" w:val="clear"/>
              </w:rPr>
              <w:t>[FILL: approaches a fully supervised counterpart (disease SAP x vs. y)]</w:t>
            </w:r>
            <w:r>
              <w:rPr>
                <w:i/>
              </w:rPr>
              <w:t xml:space="preserve"> and improves disentanglement over state-of-the-art unsupervised baselines; on OAI distal femur shapes, where pseudo-labels are noisier, the gains over unsupervised baselines are smaller."</w:t>
            </w:r>
          </w:p>
          <w:p>
            <w:pPr>
              <w:pStyle w:val="TableContents"/>
              <w:bidi w:val="0"/>
              <w:spacing w:before="0" w:after="283"/>
              <w:jc w:val="left"/>
              <w:rPr/>
            </w:pPr>
            <w:r>
              <w:rPr>
                <w:b/>
              </w:rPr>
              <w:t>New text for Section V-A (proposed):</w:t>
            </w:r>
            <w:r>
              <w:rPr/>
              <w:t xml:space="preserve"> </w:t>
            </w:r>
            <w:r>
              <w:rPr>
                <w:i/>
              </w:rPr>
              <w:t>"Because purity is inflated under class imbalance, Table 2 also reports the majority-class baseline and chance-corrected agreement. On ADNI, pseudo-labels exceed the majority baseline by 24.7 points (balanced accuracy 80.8%, κ = 0.62). On OAI the purity gain is only 7.3 points, but the clusters are far from majority assignment: they recover 72.1% of OA and 76.9% of healthy shapes (balanced accuracy 74.5%, κ = 0.46, Fisher's exact p &lt; 10⁻⁹). OAI pseudo-labels thus carry a genuine but noisier disease signal, which bounds the stage-2 gains on this cohort (Section V-C)."</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widowControl w:val="false"/>
              <w:suppressLineNumbers/>
              <w:bidi w:val="0"/>
              <w:jc w:val="left"/>
              <w:rPr/>
            </w:pPr>
            <w:r>
              <w:rPr>
                <w:b/>
                <w:sz w:val="19"/>
              </w:rPr>
              <w:t>AUTHOR NOTE — DELETE BEFORE SUBMISSION</w:t>
            </w:r>
            <w:r>
              <w:rPr>
                <w:sz w:val="19"/>
              </w:rPr>
              <w:br/>
              <w:t xml:space="preserve">• </w:t>
            </w:r>
            <w:r>
              <w:rPr>
                <w:b/>
                <w:sz w:val="19"/>
              </w:rPr>
              <w:t>The green values came from the pseudo-label files currently on disk</w:t>
            </w:r>
            <w:r>
              <w:rPr>
                <w:sz w:val="19"/>
              </w:rPr>
              <w:t xml:space="preserve"> (ADNI: 696 training scans; OAI: 191). The printed Table 2 says 82.37% / 73.66%. Recompute all seven statistics from the final stage-1 run with one script, so that Table 2 and this response quote the same numbers.</w:t>
              <w:br/>
              <w:t>• ADNI has repeated scans (696 scans, 209 subjects), so the scan-level Fisher p is optimistic. Also report κ and balanced accuracy with a subject-level bootstrap 95% CI, or quote a subject-level test in the paper.</w:t>
              <w:br/>
              <w:t xml:space="preserve">• </w:t>
            </w:r>
            <w:r>
              <w:rPr>
                <w:b/>
                <w:sz w:val="19"/>
              </w:rPr>
              <w:t>Table 2 risk — check before rewriting it.</w:t>
            </w:r>
            <w:r>
              <w:rPr>
                <w:sz w:val="19"/>
              </w:rPr>
              <w:t xml:space="preserve"> </w:t>
            </w:r>
            <w:r>
              <w:rPr>
                <w:rStyle w:val="SourceText"/>
                <w:sz w:val="19"/>
              </w:rPr>
              <w:t>pseudo_source_comparison.csv</w:t>
            </w:r>
            <w:r>
              <w:rPr>
                <w:sz w:val="19"/>
              </w:rPr>
              <w:t xml:space="preserve"> in the noise-sweep folder reports ARI 0.279 for the eikonal-only model and 0.239 for the GMM model, the reverse of Table 2's ordering. It is a different candidate run from the final pseudo-labels, so it is not decisive. Compute the new columns for all three rows. If + Eikonal beats + GMM on κ or ARI, present the GMM prior as giving higher purity, a larger volume gap and balanced clusters, not the best diagnostic agreement.</w:t>
              <w:br/>
              <w:t>• Do not write "statistically indistinguishable from supervised": with five seeds a non-significant test is expected even when the gap is real. Report the difference with its 95% CI. For an equivalence claim, pre-specify a margin (e.g., 0.05 SAP) and use a TOST test.</w:t>
              <w:br/>
              <w:t xml:space="preserve">• </w:t>
            </w:r>
            <w:r>
              <w:rPr>
                <w:b/>
                <w:sz w:val="19"/>
              </w:rPr>
              <w:t>DECISION on OAI:</w:t>
            </w:r>
            <w:r>
              <w:rPr>
                <w:sz w:val="19"/>
              </w:rPr>
              <w:t xml:space="preserve"> if the regenerated OAI stage-2 run does not reproduce the published row (see Comment 1.2 note), replace the OAI half of the abstract sentence with: "OAI distal femur shapes are reported as a cross-disease demonstration in the supplementary material."</w:t>
              <w:br/>
              <w:t xml:space="preserve">• </w:t>
            </w:r>
            <w:r>
              <w:rPr>
                <w:b/>
                <w:sz w:val="19"/>
              </w:rPr>
              <w:t>Paper:</w:t>
            </w:r>
            <w:r>
              <w:rPr>
                <w:sz w:val="19"/>
              </w:rPr>
              <w:t xml:space="preserve"> Table 2 columns, V-A paragraph, abstract/contribution/conclusion edits, balanced accuracy in Table 3. </w:t>
            </w:r>
            <w:r>
              <w:rPr>
                <w:b/>
                <w:sz w:val="19"/>
              </w:rPr>
              <w:t>Response only:</w:t>
            </w:r>
            <w:r>
              <w:rPr>
                <w:sz w:val="19"/>
              </w:rPr>
              <w:t xml:space="preserve"> the small table above can stay in both. </w:t>
            </w:r>
            <w:r>
              <w:rPr>
                <w:b/>
                <w:sz w:val="19"/>
              </w:rPr>
              <w:t>Leave out:</w:t>
            </w:r>
            <w:r>
              <w:rPr>
                <w:sz w:val="19"/>
              </w:rPr>
              <w:t xml:space="preserve"> nothing. </w:t>
            </w:r>
          </w:p>
        </w:tc>
      </w:tr>
    </w:tbl>
    <w:p>
      <w:pPr>
        <w:pStyle w:val="Heading3"/>
        <w:bidi w:val="0"/>
        <w:jc w:val="left"/>
        <w:rPr/>
      </w:pPr>
      <w:r>
        <w:rPr/>
        <w:t>Comment 1.2 — Dispersion measures and significance tests</w:t>
      </w:r>
    </w:p>
    <w:tbl>
      <w:tblPr>
        <w:tblW w:w="5000" w:type="pct"/>
        <w:jc w:val="left"/>
        <w:tblInd w:w="-7" w:type="dxa"/>
        <w:tblLayout w:type="fixed"/>
        <w:tblCellMar>
          <w:top w:w="90" w:type="dxa"/>
          <w:left w:w="90" w:type="dxa"/>
          <w:bottom w:w="90" w:type="dxa"/>
          <w:right w:w="90" w:type="dxa"/>
        </w:tblCellMar>
      </w:tblPr>
      <w:tblGrid>
        <w:gridCol w:w="1791"/>
        <w:gridCol w:w="8747"/>
      </w:tblGrid>
      <w:tr>
        <w:trPr/>
        <w:tc>
          <w:tcPr>
            <w:tcW w:w="1791"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7"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b/>
                <w:color w:val="B26B00"/>
              </w:rPr>
              <w:t>NEEDS RESULT</w:t>
            </w:r>
            <w:r>
              <w:rPr/>
              <w:t xml:space="preserve"> — protocol final; numbers come from the five-seed runs</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7"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"Statistical rigor is insufficient for the headline comparisons. Stage-2 ablations use three seeds and report averages, but no standard deviations, confidence intervals, or significance tests appear in Table 3 or Table 4. Many of the differences between the proposed method and the baselines are small (e.g., disease correlation of 0.73 vs. 0.73 on ADNI; age correlation of 0.86 vs. 0.86; several OAI columns differ by 0.01–0.02). Without variance estimates it is impossible to tell which improvements are real. Please add dispersion measures and appropriate paired tests across seeds, and temper claims where differences fall within noise."</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 agree, and we have revised the evaluation protocol as follows.</w:t>
            </w:r>
          </w:p>
          <w:p>
            <w:pPr>
              <w:pStyle w:val="TableContents"/>
              <w:bidi w:val="0"/>
              <w:spacing w:before="0" w:after="283"/>
              <w:jc w:val="left"/>
              <w:rPr/>
            </w:pPr>
            <w:r>
              <w:rPr>
                <w:b/>
              </w:rPr>
              <w:t>(i) Seeds.</w:t>
            </w:r>
            <w:r>
              <w:rPr/>
              <w:t xml:space="preserve"> Every trained stage-2 model in Tables 3 and 4 (β-VAE, β-TCVAE, DIP-VAE, both ablations, the proposed model, and the new supervised upper bound) was retrained with five random seeds instead of three. We increased the number of seeds because a paired test with three samples has a critical t value of 4.30 and almost no power for differences of the size the reviewer highlights. The seed controls weight initialization, minibatch order and the reparameterization noise </w:t>
            </w:r>
            <w:r>
              <w:rPr>
                <w:shd w:fill="FFFF00" w:val="clear"/>
              </w:rPr>
              <w:t>[VERIFY: and the SAP holdout split]</w:t>
            </w:r>
            <w:r>
              <w:rPr/>
              <w:t>. The stage-1 codes are fixed across seeds, so the reported variability isolates stage 2.</w:t>
            </w:r>
          </w:p>
          <w:p>
            <w:pPr>
              <w:pStyle w:val="TableContents"/>
              <w:bidi w:val="0"/>
              <w:spacing w:before="0" w:after="283"/>
              <w:jc w:val="left"/>
              <w:rPr/>
            </w:pPr>
            <w:r>
              <w:rPr>
                <w:b/>
              </w:rPr>
              <w:t>(ii) Deterministic methods.</w:t>
            </w:r>
            <w:r>
              <w:rPr/>
              <w:t xml:space="preserve"> PCA is deterministic, and ICA and HLLE+ICA are run with a fixed seed </w:t>
            </w:r>
            <w:r>
              <w:rPr>
                <w:shd w:fill="FFFF00" w:val="clear"/>
              </w:rPr>
              <w:t>[VERIFY]</w:t>
            </w:r>
            <w:r>
              <w:rPr/>
              <w:t>. For these we report the standard deviation of a subject-level bootstrap (1,000 resamples of subjects, with all scans of a subject kept together), marked with † in the tables.</w:t>
            </w:r>
          </w:p>
          <w:p>
            <w:pPr>
              <w:pStyle w:val="TableContents"/>
              <w:bidi w:val="0"/>
              <w:spacing w:before="0" w:after="283"/>
              <w:jc w:val="left"/>
              <w:rPr/>
            </w:pPr>
            <w:r>
              <w:rPr>
                <w:b/>
              </w:rPr>
              <w:t>(iii) Significance.</w:t>
            </w:r>
            <w:r>
              <w:rPr/>
              <w:t xml:space="preserve"> We compare the proposed model with every other method using a two-sided paired t-test across seeds. Holm–Bonferroni correction is applied within two pre-specified families per metric: the comparisons against the unsupervised baselines, and the comparisons against the two ablations. We also report the 95% confidence interval of the paired difference from a subject-level paired bootstrap. We use the t-test because, with five paired samples, the Wilcoxon signed-rank test cannot reach p &lt; 0.05.</w:t>
            </w:r>
          </w:p>
          <w:p>
            <w:pPr>
              <w:pStyle w:val="TableContents"/>
              <w:bidi w:val="0"/>
              <w:spacing w:before="0" w:after="283"/>
              <w:jc w:val="left"/>
              <w:rPr/>
            </w:pPr>
            <w:r>
              <w:rPr>
                <w:b/>
              </w:rPr>
              <w:t>(iv) Consistency across metrics.</w:t>
            </w:r>
            <w:r>
              <w:rPr/>
              <w:t xml:space="preserve"> We report a two-sided sign test over the 12 metric × dataset cells of Table 3.</w:t>
            </w:r>
          </w:p>
          <w:p>
            <w:pPr>
              <w:pStyle w:val="TableContents"/>
              <w:bidi w:val="0"/>
              <w:spacing w:before="0" w:after="283"/>
              <w:jc w:val="left"/>
              <w:rPr/>
            </w:pPr>
            <w:r>
              <w:rPr>
                <w:b/>
              </w:rPr>
              <w:t>(v) Reconstruction.</w:t>
            </w:r>
            <w:r>
              <w:rPr/>
              <w:t xml:space="preserve"> Table 4 reports Chamfer distance as mean ± SD over seeds. Because a paired test over hundreds of shapes resolves differences far smaller than those that matter geometrically, we report the relative difference next to every p-value.</w:t>
            </w:r>
          </w:p>
          <w:p>
            <w:pPr>
              <w:pStyle w:val="TableContents"/>
              <w:bidi w:val="0"/>
              <w:spacing w:before="0" w:after="283"/>
              <w:jc w:val="left"/>
              <w:rPr/>
            </w:pPr>
            <w:r>
              <w:rPr>
                <w:b/>
              </w:rPr>
              <w:t>Outcome.</w:t>
            </w:r>
            <w:r>
              <w:rPr/>
              <w:t xml:space="preserve"> The proposed model outperforms all unsupervised baselines on disease SAP on ADNI (</w:t>
            </w:r>
            <w:r>
              <w:rPr>
                <w:shd w:fill="FFFF00" w:val="clear"/>
              </w:rPr>
              <w:t>[FILL: mean ± SD vs. best baseline mean ± SD, p = ]</w:t>
            </w:r>
            <w:r>
              <w:rPr/>
              <w:t xml:space="preserve">) </w:t>
            </w:r>
            <w:r>
              <w:rPr>
                <w:shd w:fill="FFFF00" w:val="clear"/>
              </w:rPr>
              <w:t>[FILL: and on OAI (p = ) / while on OAI the difference is not significant (p = )]</w:t>
            </w:r>
            <w:r>
              <w:rPr/>
              <w:t xml:space="preserve">. The ablation comparisons are </w:t>
            </w:r>
            <w:r>
              <w:rPr>
                <w:shd w:fill="FFFF00" w:val="clear"/>
              </w:rPr>
              <w:t>[FILL: e.g., significant for adaptive temperature (p = ) but not for covariance regularization (p = )]</w:t>
            </w:r>
            <w:r>
              <w:rPr/>
              <w:t xml:space="preserve">, and we revised the ablation discussion accordingly. Differences that fall within noise are now described as ties, including the two the reviewer identified: disease correlation on ADNI against the covariance ablation (previously 0.73 vs. 0.73; now </w:t>
            </w:r>
            <w:r>
              <w:rPr>
                <w:shd w:fill="FFFF00" w:val="clear"/>
              </w:rPr>
              <w:t>[FILL]</w:t>
            </w:r>
            <w:r>
              <w:rPr/>
              <w:t xml:space="preserve">) and age correlation on ADNI against DIP-VAE (previously 0.86 vs. 0.86; now </w:t>
            </w:r>
            <w:r>
              <w:rPr>
                <w:shd w:fill="FFFF00" w:val="clear"/>
              </w:rPr>
              <w:t>[FILL]</w:t>
            </w:r>
            <w:r>
              <w:rPr/>
              <w:t xml:space="preserve">), as well as </w:t>
            </w:r>
            <w:r>
              <w:rPr>
                <w:shd w:fill="FFFF00" w:val="clear"/>
              </w:rPr>
              <w:t>[FILL: OAI cells]</w:t>
            </w:r>
            <w:r>
              <w:rPr/>
              <w:t xml:space="preserve">. Across the 12 metric × dataset cells, the full model ranks first in </w:t>
            </w:r>
            <w:r>
              <w:rPr>
                <w:shd w:fill="FFFF00" w:val="clear"/>
              </w:rPr>
              <w:t>[FILL]</w:t>
            </w:r>
            <w:r>
              <w:rPr/>
              <w:t xml:space="preserve"> of 12 (sign test p = </w:t>
            </w:r>
            <w:r>
              <w:rPr>
                <w:shd w:fill="FFFF00" w:val="clear"/>
              </w:rPr>
              <w:t>[FILL]</w:t>
            </w:r>
            <w:r>
              <w:rPr/>
              <w:t>). The revised text claims an improvement only where the paired test supports one.</w:t>
            </w:r>
          </w:p>
        </w:tc>
      </w:tr>
      <w:tr>
        <w:trPr/>
        <w:tc>
          <w:tcPr>
            <w:tcW w:w="1791"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 </w:t>
            </w:r>
            <w:r>
              <w:rPr/>
              <w:t>Tables 3 and 4 regenerated as mean ± SD (five seeds; † = bootstrap SD for deterministic methods), with markers for Holm-corrected significance.</w:t>
              <w:br/>
              <w:t>• New "Statistical analysis" paragraph in Section IV-B (below).</w:t>
              <w:br/>
              <w:t>• "Three random seeds" in Section IV-B changed to five.</w:t>
              <w:br/>
              <w:t>• Section V-A revised: the claims that the ablations "improve factor separation" and that on OAI the method "still achieves the best disease and age SAP scores and stronger downstream results" are now stated only to the extent supported by the tests.</w:t>
              <w:br/>
              <w:t xml:space="preserve">• Figures 4 and 5: </w:t>
            </w:r>
            <w:r>
              <w:rPr>
                <w:shd w:fill="FFFF00" w:val="clear"/>
              </w:rPr>
              <w:t>[FILL: error bars / bootstrap bands — see Comment 2.2]</w:t>
            </w:r>
            <w:r>
              <w:rPr/>
              <w:t>.</w:t>
            </w:r>
          </w:p>
          <w:p>
            <w:pPr>
              <w:pStyle w:val="TableContents"/>
              <w:bidi w:val="0"/>
              <w:spacing w:before="0" w:after="283"/>
              <w:jc w:val="left"/>
              <w:rPr/>
            </w:pPr>
            <w:r>
              <w:rPr>
                <w:b/>
              </w:rPr>
              <w:t>New text for Section IV-B (proposed):</w:t>
            </w:r>
            <w:r>
              <w:rPr/>
              <w:t xml:space="preserve"> </w:t>
            </w:r>
            <w:r>
              <w:rPr>
                <w:i/>
              </w:rPr>
              <w:t>"Statistical analysis. Each trained stage-2 model is run with five random seeds, and we report mean ± SD. For deterministic methods (†), we report the SD of a subject-level bootstrap with 1,000 resamples. We compare the proposed model with each alternative using a two-sided paired t-test across seeds, with Holm–Bonferroni correction within two pre-specified families per metric (unsupervised baselines; ablations), and report the 95% CI of the paired difference from a subject-level paired bootstrap. Consistency across metrics is assessed with a two-sided sign test over the 12 metric–dataset cells of Table 3. All resampling is performed at the subject level to account for repeated scans in ADNI."</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widowControl w:val="false"/>
              <w:suppressLineNumbers/>
              <w:bidi w:val="0"/>
              <w:jc w:val="left"/>
              <w:rPr/>
            </w:pPr>
            <w:r>
              <w:rPr>
                <w:b/>
                <w:sz w:val="19"/>
              </w:rPr>
              <w:t>AUTHOR NOTE — DELETE BEFORE SUBMISSION</w:t>
            </w:r>
            <w:r>
              <w:rPr>
                <w:sz w:val="19"/>
              </w:rPr>
              <w:br/>
              <w:t xml:space="preserve">• </w:t>
            </w:r>
            <w:r>
              <w:rPr>
                <w:b/>
                <w:sz w:val="19"/>
              </w:rPr>
              <w:t>Run order:</w:t>
            </w:r>
            <w:r>
              <w:rPr>
                <w:sz w:val="19"/>
              </w:rPr>
              <w:t xml:space="preserve"> regenerate the OAI stage-2 row at the paper's configuration </w:t>
            </w:r>
            <w:r>
              <w:rPr>
                <w:i/>
                <w:sz w:val="19"/>
              </w:rPr>
              <w:t>first</w:t>
            </w:r>
            <w:r>
              <w:rPr>
                <w:sz w:val="19"/>
              </w:rPr>
              <w:t xml:space="preserve"> and confirm it lands near the published values before starting the 30 seed runs. If it does not reproduce, decide (report the reproducible values, or move OAI to the supplement) before investing the seed compute.</w:t>
              <w:br/>
              <w:t xml:space="preserve">• </w:t>
            </w:r>
            <w:r>
              <w:rPr>
                <w:b/>
                <w:sz w:val="19"/>
              </w:rPr>
              <w:t>Evaluation set — decide and state it.</w:t>
            </w:r>
            <w:r>
              <w:rPr>
                <w:sz w:val="19"/>
              </w:rPr>
              <w:t xml:space="preserve"> The current logs compute SAP on the training codes and on a 10% training holdout. Recommended: disentanglement metrics on all ADNI training scans with subject-level bootstrap, and KNN balanced accuracy on held-out test subjects. Write whichever you use into Section IV-B.</w:t>
              <w:br/>
              <w:t xml:space="preserve">• </w:t>
            </w:r>
            <w:r>
              <w:rPr>
                <w:b/>
                <w:sz w:val="19"/>
              </w:rPr>
              <w:t>Forecast (from the dispersion measured on current checkpoints):</w:t>
            </w:r>
            <w:r>
              <w:rPr>
                <w:sz w:val="19"/>
              </w:rPr>
              <w:t xml:space="preserve"> Ours vs. all unsupervised baselines on ADNI disease SAP survives in every scenario. Ours vs. w/o cov (0.04 gap) is likely </w:t>
            </w:r>
            <w:r>
              <w:rPr>
                <w:i/>
                <w:sz w:val="19"/>
              </w:rPr>
              <w:t>not</w:t>
            </w:r>
            <w:r>
              <w:rPr>
                <w:sz w:val="19"/>
              </w:rPr>
              <w:t xml:space="preserve"> significant. Ours vs. w/o adaptive T is marginal (it passes at five seeds in the expected case). All OAI ablation gaps are likely not significant. The 0.73/0.73 and 0.86/0.86 cells stay ties. Draft the ablation paragraph for the "not significant" outcome now.</w:t>
              <w:br/>
              <w:t>• Expected fresh means may land 0.02–0.07 below the published single-run values. The same regression affects all rows, so rely on the ordering and the sign test.</w:t>
              <w:br/>
              <w:t xml:space="preserve">• Compute: ours, both ablations and the supervised row = 4 configs × 5 seeds × (7 h ADNI + 2.5 h OAI) ≈ 190 GPU-h ≈ 63 h wall on three GPUs. The β-VAE family adds ≈ 48 h wall if it trains with the SDF loss </w:t>
            </w:r>
            <w:r>
              <w:rPr>
                <w:sz w:val="19"/>
                <w:shd w:fill="FFFF00" w:val="clear"/>
              </w:rPr>
              <w:t>[VERIFY]</w:t>
            </w:r>
            <w:r>
              <w:rPr>
                <w:sz w:val="19"/>
              </w:rPr>
              <w:t>, far less if not. To save time, three seeds are enough for the β-VAE family: its gap to ours (≈ 0.20 SAP) spans several SDs.</w:t>
              <w:br/>
              <w:t>• All Table 3 rows must use the final stage-1 codes. The current OAI stage-2 configs point to the eikonal-only codes (</w:t>
            </w:r>
            <w:r>
              <w:rPr>
                <w:rStyle w:val="SourceText"/>
                <w:sz w:val="19"/>
              </w:rPr>
              <w:t>minimal_eikonal</w:t>
            </w:r>
            <w:r>
              <w:rPr>
                <w:sz w:val="19"/>
              </w:rPr>
              <w:t>), not the GMM run.</w:t>
              <w:br/>
              <w:t xml:space="preserve">• </w:t>
            </w:r>
            <w:r>
              <w:rPr>
                <w:b/>
                <w:sz w:val="19"/>
              </w:rPr>
              <w:t>DECISION on "high-fidelity reconstruction" in the abstract:</w:t>
            </w:r>
            <w:r>
              <w:rPr>
                <w:sz w:val="19"/>
              </w:rPr>
              <w:t xml:space="preserve"> if Table 4 shows ours clearly worse than PCA, soften it to "competitive reconstruction".</w:t>
              <w:br/>
              <w:t xml:space="preserve">• </w:t>
            </w:r>
            <w:r>
              <w:rPr>
                <w:b/>
                <w:sz w:val="19"/>
              </w:rPr>
              <w:t>Paper:</w:t>
            </w:r>
            <w:r>
              <w:rPr>
                <w:sz w:val="19"/>
              </w:rPr>
              <w:t xml:space="preserve"> tables with ±, statistical paragraph, tempered claims. </w:t>
            </w:r>
            <w:r>
              <w:rPr>
                <w:b/>
                <w:sz w:val="19"/>
              </w:rPr>
              <w:t>Response only:</w:t>
            </w:r>
            <w:r>
              <w:rPr>
                <w:sz w:val="19"/>
              </w:rPr>
              <w:t xml:space="preserve"> the one-paragraph outcome summary. </w:t>
            </w:r>
            <w:r>
              <w:rPr>
                <w:b/>
                <w:sz w:val="19"/>
              </w:rPr>
              <w:t>Leave out:</w:t>
            </w:r>
            <w:r>
              <w:rPr>
                <w:sz w:val="19"/>
              </w:rPr>
              <w:t xml:space="preserve"> all forecast numbers. </w:t>
            </w:r>
          </w:p>
        </w:tc>
      </w:tr>
    </w:tbl>
    <w:p>
      <w:pPr>
        <w:pStyle w:val="Heading3"/>
        <w:bidi w:val="0"/>
        <w:jc w:val="left"/>
        <w:rPr/>
      </w:pPr>
      <w:r>
        <w:rPr/>
        <w:t>Comment 1.3 — Code URL, search ranges, selection objective, and sensitivity</w:t>
      </w:r>
    </w:p>
    <w:tbl>
      <w:tblPr>
        <w:tblW w:w="5000" w:type="pct"/>
        <w:jc w:val="left"/>
        <w:tblInd w:w="-7" w:type="dxa"/>
        <w:tblLayout w:type="fixed"/>
        <w:tblCellMar>
          <w:top w:w="90" w:type="dxa"/>
          <w:left w:w="90" w:type="dxa"/>
          <w:bottom w:w="90" w:type="dxa"/>
          <w:right w:w="90" w:type="dxa"/>
        </w:tblCellMar>
      </w:tblPr>
      <w:tblGrid>
        <w:gridCol w:w="1791"/>
        <w:gridCol w:w="8747"/>
      </w:tblGrid>
      <w:tr>
        <w:trPr/>
        <w:tc>
          <w:tcPr>
            <w:tcW w:w="1791"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7"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b/>
                <w:color w:val="B26B00"/>
              </w:rPr>
              <w:t>NEEDS RESULT</w:t>
            </w:r>
            <w:r>
              <w:rPr/>
              <w:t xml:space="preserve"> (sensitivity runs, URL) · search-space text </w:t>
            </w:r>
            <w:r>
              <w:rPr>
                <w:b/>
                <w:color w:val="1F6F43"/>
              </w:rPr>
              <w:t>FINAL</w:t>
            </w:r>
            <w:r>
              <w:rPr/>
              <w:t xml:space="preserve"> pending the VERIFY items</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7"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"Reproducibility details are incomplete despite the "code available" claim. The GitHub reference in the abstract is generic ("available at GitHub") with no URL. Several hyperparameters have suspiciously precise values (λ_code = 0.44, λ_snnl = 0.77, λ_dis_sen = 0.56) selected by Optuna, but the search ranges, the exact validation objective used for selection, and the sensitivity of results to these choices are not reported. Given that the method has at least eight loss weights, a sensitivity analysis would help establish that the results are not the product of heavy per-dataset tuning."</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(i) Code.</w:t>
            </w:r>
            <w:r>
              <w:rPr/>
              <w:t xml:space="preserve"> The repository is now public at </w:t>
            </w:r>
            <w:r>
              <w:rPr>
                <w:shd w:fill="FFFF00" w:val="clear"/>
              </w:rPr>
              <w:t>[FILL: https://github.com/...]</w:t>
            </w:r>
            <w:r>
              <w:rPr/>
              <w:t xml:space="preserve"> and the URL appears in the abstract and in a Code Availability statement. It contains the code for both stages, the configuration file for every reported experiment, the subject-level split files, the pseudo-labels, the trained checkpoints </w:t>
            </w:r>
            <w:r>
              <w:rPr>
                <w:shd w:fill="FFFF00" w:val="clear"/>
              </w:rPr>
              <w:t>[VERIFY: permitted under the ADNI/OAI data use agreements]</w:t>
            </w:r>
            <w:r>
              <w:rPr/>
              <w:t>, and scripts that regenerate every table and figure. Imaging data are not redistributed; the repository documents how to obtain them from ADNI and OAI-ZIB.</w:t>
            </w:r>
          </w:p>
          <w:p>
            <w:pPr>
              <w:pStyle w:val="TableContents"/>
              <w:bidi w:val="0"/>
              <w:spacing w:before="0" w:after="283"/>
              <w:jc w:val="left"/>
              <w:rPr/>
            </w:pPr>
            <w:r>
              <w:rPr>
                <w:b/>
              </w:rPr>
              <w:t>(ii) Search space and selection objective.</w:t>
            </w:r>
            <w:r>
              <w:rPr/>
              <w:t xml:space="preserve"> The new Appendix Table A1 lists every searched hyperparameter with its range, scale and selected value. The search used Optuna's TPE sampler (seed 0) with 100 trials of </w:t>
            </w:r>
            <w:r>
              <w:rPr>
                <w:shd w:fill="FFFF00" w:val="clear"/>
              </w:rPr>
              <w:t>[FILL: 500]</w:t>
            </w:r>
            <w:r>
              <w:rPr/>
              <w:t xml:space="preserve"> epochs each. Each trial was scored by</w:t>
            </w:r>
          </w:p>
          <w:p>
            <w:pPr>
              <w:pStyle w:val="TableContents"/>
              <w:bidi w:val="0"/>
              <w:spacing w:before="0" w:after="283"/>
              <w:jc w:val="center"/>
              <w:rPr/>
            </w:pPr>
            <w:r>
              <w:rPr>
                <w:i/>
              </w:rPr>
              <w:t>J = 0.6 · SAP + 0.3 · ½(|r</w:t>
            </w:r>
            <w:r>
              <w:rPr>
                <w:i/>
                <w:position w:val="-2"/>
                <w:sz w:val="18"/>
              </w:rPr>
              <w:t>disease</w:t>
            </w:r>
            <w:r>
              <w:rPr>
                <w:i/>
              </w:rPr>
              <w:t>| + |r</w:t>
            </w:r>
            <w:r>
              <w:rPr>
                <w:i/>
                <w:position w:val="-2"/>
                <w:sz w:val="18"/>
              </w:rPr>
              <w:t>age</w:t>
            </w:r>
            <w:r>
              <w:rPr>
                <w:i/>
              </w:rPr>
              <w:t>|) + 0.1 · (−L</w:t>
            </w:r>
            <w:r>
              <w:rPr>
                <w:i/>
                <w:position w:val="-2"/>
                <w:sz w:val="18"/>
              </w:rPr>
              <w:t>SDF</w:t>
            </w:r>
            <w:r>
              <w:rPr>
                <w:i/>
              </w:rPr>
              <w:t>)</w:t>
            </w:r>
            <w:r>
              <w:rPr/>
              <w:t>,</w:t>
            </w:r>
          </w:p>
          <w:p>
            <w:pPr>
              <w:pStyle w:val="TableContents"/>
              <w:bidi w:val="0"/>
              <w:spacing w:before="0" w:after="283"/>
              <w:jc w:val="left"/>
              <w:rPr/>
            </w:pPr>
            <w:r>
              <w:rPr/>
              <w:t xml:space="preserve">where SAP and the two correlations are computed on </w:t>
            </w:r>
            <w:r>
              <w:rPr>
                <w:shd w:fill="FFFF00" w:val="clear"/>
              </w:rPr>
              <w:t>[FILL: a held-out 10% of the training scans]</w:t>
            </w:r>
            <w:r>
              <w:rPr/>
              <w:t xml:space="preserve"> and L</w:t>
            </w:r>
            <w:r>
              <w:rPr>
                <w:position w:val="-2"/>
                <w:sz w:val="18"/>
              </w:rPr>
              <w:t>SDF</w:t>
            </w:r>
            <w:r>
              <w:rPr/>
              <w:t xml:space="preserve"> on </w:t>
            </w:r>
            <w:r>
              <w:rPr>
                <w:shd w:fill="FFFF00" w:val="clear"/>
              </w:rPr>
              <w:t>[FILL: the training shapes]</w:t>
            </w:r>
            <w:r>
              <w:rPr/>
              <w:t xml:space="preserve">. The selected configuration was then trained for 2,000 epochs. The weights </w:t>
            </w:r>
            <w:r>
              <w:rPr>
                <w:shd w:fill="FFFF00" w:val="clear"/>
              </w:rPr>
              <w:t>[VERIFY: λ_dis_sen, ε, η, λ₁, λ₂]</w:t>
            </w:r>
            <w:r>
              <w:rPr/>
              <w:t xml:space="preserve"> were fixed rather than searched. The precise decimals of the selected values reflect the continuous search space and are not individually meaningful; the sensitivity analysis below shows this directly. Because the selection objective uses diagnosis labels on a small held-out subset, it is </w:t>
            </w:r>
            <w:r>
              <w:rPr>
                <w:shd w:fill="FFFF00" w:val="clear"/>
              </w:rPr>
              <w:t>[VERIFY: the only point]</w:t>
            </w:r>
            <w:r>
              <w:rPr/>
              <w:t xml:space="preserve"> at which ground-truth diagnosis enters the training pipeline. We now state this explicitly in Sections IV-B and VI.</w:t>
            </w:r>
          </w:p>
          <w:p>
            <w:pPr>
              <w:pStyle w:val="TableContents"/>
              <w:bidi w:val="0"/>
              <w:spacing w:before="0" w:after="283"/>
              <w:jc w:val="left"/>
              <w:rPr/>
            </w:pPr>
            <w:r>
              <w:rPr>
                <w:b/>
              </w:rPr>
              <w:t>(iii) Per-dataset tuning.</w:t>
            </w:r>
            <w:r>
              <w:rPr/>
              <w:t xml:space="preserve"> </w:t>
            </w:r>
            <w:r>
              <w:rPr>
                <w:shd w:fill="FFFF00" w:val="clear"/>
              </w:rPr>
              <w:t>[DECISION — keep one: "A single configuration, selected on ADNI, is used unchanged for OAI, so the OAI results involve no per-dataset tuning." / "The search was run separately for each dataset; both selected configurations are listed in Table A1."]</w:t>
            </w:r>
          </w:p>
          <w:p>
            <w:pPr>
              <w:pStyle w:val="TableContents"/>
              <w:bidi w:val="0"/>
              <w:spacing w:before="0" w:after="283"/>
              <w:jc w:val="left"/>
              <w:rPr/>
            </w:pPr>
            <w:r>
              <w:rPr>
                <w:b/>
              </w:rPr>
              <w:t>(iv) Sensitivity.</w:t>
            </w:r>
            <w:r>
              <w:rPr/>
              <w:t xml:space="preserve"> We perturbed each of the five principal loss weights (λ</w:t>
            </w:r>
            <w:r>
              <w:rPr>
                <w:position w:val="-2"/>
                <w:sz w:val="18"/>
              </w:rPr>
              <w:t>code</w:t>
            </w:r>
            <w:r>
              <w:rPr/>
              <w:t>, λ</w:t>
            </w:r>
            <w:r>
              <w:rPr>
                <w:position w:val="-2"/>
                <w:sz w:val="18"/>
              </w:rPr>
              <w:t>snnl</w:t>
            </w:r>
            <w:r>
              <w:rPr/>
              <w:t>, λ</w:t>
            </w:r>
            <w:r>
              <w:rPr>
                <w:position w:val="-2"/>
                <w:sz w:val="18"/>
              </w:rPr>
              <w:t>cov</w:t>
            </w:r>
            <w:r>
              <w:rPr/>
              <w:t>, λ</w:t>
            </w:r>
            <w:r>
              <w:rPr>
                <w:position w:val="-2"/>
                <w:sz w:val="18"/>
              </w:rPr>
              <w:t>dis_sen</w:t>
            </w:r>
            <w:r>
              <w:rPr/>
              <w:t xml:space="preserve">, β) by ±50% around its selected value, one at a time with all others fixed, on ADNI with three seeds per setting and </w:t>
            </w:r>
            <w:r>
              <w:rPr>
                <w:shd w:fill="FFFF00" w:val="clear"/>
              </w:rPr>
              <w:t>[FILL: 500]</w:t>
            </w:r>
            <w:r>
              <w:rPr/>
              <w:t xml:space="preserve"> epochs per run, including the unperturbed configuration at the same length. We report disease SAP, age SAP and Chamfer distance (new Table </w:t>
            </w:r>
            <w:r>
              <w:rPr>
                <w:shd w:fill="FFFF00" w:val="clear"/>
              </w:rPr>
              <w:t>[FILL]</w:t>
            </w:r>
            <w:r>
              <w:rPr/>
              <w:t xml:space="preserve">). </w:t>
            </w:r>
            <w:r>
              <w:rPr>
                <w:shd w:fill="FFFF00" w:val="clear"/>
              </w:rPr>
              <w:t>[FILL — expected wording: "Four of the five weights change disease SAP by less than one seed standard deviation. Only λ_snnl has a systematic effect, with disentanglement decreasing as the supervision weight is reduced. The results therefore do not depend on the precise values reported."]</w:t>
            </w:r>
          </w:p>
        </w:tc>
      </w:tr>
      <w:tr>
        <w:trPr/>
        <w:tc>
          <w:tcPr>
            <w:tcW w:w="1791"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 </w:t>
            </w:r>
            <w:r>
              <w:rPr/>
              <w:t>Repository URL added to the Abstract and a Code Availability statement.</w:t>
              <w:br/>
              <w:t>• New Appendix Table A1 (search space, sampler, number of trials, trial length, objective, selected values).</w:t>
              <w:br/>
              <w:t>• Section IV-B: the sentence "Hyperparameter selection is based on disentanglement quality measured by SAP together with reconstruction performance on validation data" is replaced by the exact objective, evaluation subsets and fixed weights; the trial counts and lengths are corrected; the use of labels for model selection is disclosed.</w:t>
              <w:br/>
              <w:t xml:space="preserve">• New sensitivity table and paragraph in Section V </w:t>
            </w:r>
            <w:r>
              <w:rPr>
                <w:shd w:fill="FFFF00" w:val="clear"/>
              </w:rPr>
              <w:t>[FILL: section number]</w:t>
            </w:r>
            <w:r>
              <w:rPr/>
              <w:t>.</w:t>
            </w:r>
          </w:p>
          <w:p>
            <w:pPr>
              <w:pStyle w:val="TableContents"/>
              <w:bidi w:val="0"/>
              <w:spacing w:before="0" w:after="283"/>
              <w:jc w:val="left"/>
              <w:rPr>
                <w:b/>
              </w:rPr>
            </w:pPr>
            <w:r>
              <w:rPr>
                <w:b/>
              </w:rPr>
              <w:t>Appendix Table A1 — searched parameters (from the search script):</w:t>
            </w:r>
          </w:p>
          <w:tbl>
            <w:tblPr>
              <w:tblW w:w="8534" w:type="dxa"/>
              <w:jc w:val="left"/>
              <w:tblInd w:w="-7" w:type="dxa"/>
              <w:tblLayout w:type="fixed"/>
              <w:tblCellMar>
                <w:top w:w="45" w:type="dxa"/>
                <w:left w:w="45" w:type="dxa"/>
                <w:bottom w:w="45" w:type="dxa"/>
                <w:right w:w="45" w:type="dxa"/>
              </w:tblCellMar>
            </w:tblPr>
            <w:tblGrid>
              <w:gridCol w:w="2855"/>
              <w:gridCol w:w="1281"/>
              <w:gridCol w:w="1131"/>
              <w:gridCol w:w="1701"/>
              <w:gridCol w:w="1566"/>
            </w:tblGrid>
            <w:tr>
              <w:trPr/>
              <w:tc>
                <w:tcPr>
                  <w:tcW w:w="2855"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Parameter</w:t>
                  </w:r>
                </w:p>
              </w:tc>
              <w:tc>
                <w:tcPr>
                  <w:tcW w:w="128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Range</w:t>
                  </w:r>
                </w:p>
              </w:tc>
              <w:tc>
                <w:tcPr>
                  <w:tcW w:w="113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Scale</w:t>
                  </w:r>
                </w:p>
              </w:tc>
              <w:tc>
                <w:tcPr>
                  <w:tcW w:w="170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Selected (ADNI)</w:t>
                  </w:r>
                </w:p>
              </w:tc>
              <w:tc>
                <w:tcPr>
                  <w:tcW w:w="156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Selected (OAI)</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λ_code (code reconstruction)</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[1e-3, 0.5]</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 (KL weight)</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[1e-4, 5e-2]</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KL warm-up epochs</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 150]</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integer</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λ_reg (code ℓ2)</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[1e-6, 1e-3]</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λ_snnl (disease SNNL)</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 1.0]</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linear</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SNNL temperature (disease)</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 30]</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Age SNNL weight</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 1.0]</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linear</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Age SNNL temperature</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 30]</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Age SNNL threshold τ</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{0.15, 0.20}</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categorical</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λ_cov</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[1e-3, 1.0]</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Correlation-leakage weight</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[1e-3, 0.5]</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Initial learning rate</w:t>
                  </w:r>
                </w:p>
              </w:tc>
              <w:tc>
                <w:tcPr>
                  <w:tcW w:w="12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[1e-4, 5e-3]</w:t>
                  </w:r>
                </w:p>
              </w:tc>
              <w:tc>
                <w:tcPr>
                  <w:tcW w:w="1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7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[FILL]</w:t>
                  </w:r>
                </w:p>
              </w:tc>
            </w:tr>
            <w:tr>
              <w:trPr/>
              <w:tc>
                <w:tcPr>
                  <w:tcW w:w="285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Second-stage LR ratio</w:t>
                  </w:r>
                </w:p>
              </w:tc>
              <w:tc>
                <w:tcPr>
                  <w:tcW w:w="128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[0.05, 0.5]</w:t>
                  </w:r>
                </w:p>
              </w:tc>
              <w:tc>
                <w:tcPr>
                  <w:tcW w:w="113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linear</w:t>
                  </w:r>
                </w:p>
              </w:tc>
              <w:tc>
                <w:tcPr>
                  <w:tcW w:w="170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[FILL]</w:t>
                  </w:r>
                </w:p>
              </w:tc>
              <w:tc>
                <w:tcPr>
                  <w:tcW w:w="156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[FILL]</w:t>
                  </w:r>
                </w:p>
              </w:tc>
            </w:tr>
          </w:tbl>
          <w:p>
            <w:pPr>
              <w:pStyle w:val="TableContents"/>
              <w:bidi w:val="0"/>
              <w:jc w:val="left"/>
              <w:rPr>
                <w:sz w:val="4"/>
                <w:szCs w:val="4"/>
              </w:rPr>
            </w:pPr>
            <w:r>
              <w:rPr>
                <w:sz w:val="4"/>
                <w:szCs w:val="4"/>
              </w:rPr>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br/>
              <w:t xml:space="preserve">• </w:t>
            </w:r>
            <w:r>
              <w:rPr>
                <w:b/>
                <w:sz w:val="19"/>
              </w:rPr>
              <w:t>Make the paper match the released code exactly.</w:t>
            </w:r>
            <w:r>
              <w:rPr>
                <w:sz w:val="19"/>
              </w:rPr>
              <w:t xml:space="preserve"> In the current script: the trial length is 500 epochs (the paper says 100); λ_dis_sen is </w:t>
            </w:r>
            <w:r>
              <w:rPr>
                <w:i/>
                <w:sz w:val="19"/>
              </w:rPr>
              <w:t>not</w:t>
            </w:r>
            <w:r>
              <w:rPr>
                <w:sz w:val="19"/>
              </w:rPr>
              <w:t xml:space="preserve"> in the search space (the paper says it was Optuna-selected); the search runs on a 10% training holdout (the paper says "validation data"); and the code has loss terms not in Eq. 5 (age-SNNL weight, correlation leakage, cross-covariance, match-std). Either document every active term in Section III-C or disable it in the released configs. Reviewer 1 counted "at least eight loss weights" and will check.</w:t>
              <w:br/>
              <w:t>• The hyperparameter values printed in Section IV-B must be those of the configuration that produced the new Table 3. Copy them from the final config files, not from the old text.</w:t>
              <w:br/>
              <w:t>• The selection holdout is drawn by scan in the current code (626 train / 70 holdout scans), so other scans of the same subjects sit in training. Draw it by subject, or use the validation partition.</w:t>
              <w:br/>
              <w:t>• τ = 0.05 (paper) is not in the searched set {0.15, 0.20}, and the disease SNNL threshold is not searched.</w:t>
              <w:br/>
              <w:t>• The current log shows a fixed temperature T = 10 for the disease SNNL; the adaptive T appears to apply only to the age SNNL. Make the Eq. 7 description and the "w/o adaptive T" ablation say what the code does.</w:t>
              <w:br/>
              <w:t>• The stage-1 "50 Optuna trials" claim: locate that search script and add its ranges to Table A1, or remove the claim.</w:t>
              <w:br/>
              <w:t xml:space="preserve">• </w:t>
            </w:r>
            <w:r>
              <w:rPr>
                <w:b/>
                <w:sz w:val="19"/>
              </w:rPr>
              <w:t>Optional, strengthens the self-supervision claim:</w:t>
            </w:r>
            <w:r>
              <w:rPr>
                <w:sz w:val="19"/>
              </w:rPr>
              <w:t xml:space="preserve"> switch the selection objective to pseudo-label SAP instead of true-label SAP. Then diagnosis labels are never used, and the disclosure sentence becomes "no ground-truth diagnosis is used at any stage, including model selection".</w:t>
              <w:br/>
              <w:t xml:space="preserve">• </w:t>
            </w:r>
            <w:r>
              <w:rPr>
                <w:b/>
                <w:sz w:val="19"/>
              </w:rPr>
              <w:t>Sensitivity sweep:</w:t>
            </w:r>
            <w:r>
              <w:rPr>
                <w:sz w:val="19"/>
              </w:rPr>
              <w:t xml:space="preserve"> 11 settings (10 perturbed + the centre) × 3 seeds × ≈ 1.75 h at 500 epochs ≈ 58 GPU-h ≈ 19 h wall. To halve it, run the ±50% points with one seed and only the centre with three. Log Chamfer for every run. If a perturbed value beats the selected one on SAP, defend it with the joint objective J above (a SAP gain paid for with reconstruction is not better under J), and report it rather than hiding it. If λ_dis_sen at −50% collapses the coordinate, report the collapse as evidence that the term is necessary.</w:t>
              <w:br/>
              <w:t>• Check the ADNI and OAI data use agreements before releasing checkpoints or latent codes derived from their data.</w:t>
              <w:br/>
              <w:t xml:space="preserve">• </w:t>
            </w:r>
            <w:r>
              <w:rPr>
                <w:b/>
                <w:sz w:val="19"/>
              </w:rPr>
              <w:t>Paper:</w:t>
            </w:r>
            <w:r>
              <w:rPr>
                <w:sz w:val="19"/>
              </w:rPr>
              <w:t xml:space="preserve"> URL, Table A1, sensitivity table, disclosure. </w:t>
            </w:r>
            <w:r>
              <w:rPr>
                <w:b/>
                <w:sz w:val="19"/>
              </w:rPr>
              <w:t>Response only:</w:t>
            </w:r>
            <w:r>
              <w:rPr>
                <w:sz w:val="19"/>
              </w:rPr>
              <w:t xml:space="preserve"> nothing extra. </w:t>
            </w:r>
            <w:r>
              <w:rPr>
                <w:b/>
                <w:sz w:val="19"/>
              </w:rPr>
              <w:t>Leave out:</w:t>
            </w:r>
            <w:r>
              <w:rPr>
                <w:sz w:val="19"/>
              </w:rPr>
              <w:t xml:space="preserve"> discrepancies between old text and code — just fix them. </w:t>
            </w:r>
          </w:p>
        </w:tc>
      </w:tr>
    </w:tbl>
    <w:p>
      <w:pPr>
        <w:pStyle w:val="Heading3"/>
        <w:bidi w:val="0"/>
        <w:jc w:val="left"/>
        <w:rPr/>
      </w:pPr>
      <w:r>
        <w:rPr/>
        <w:t>Comment 1.4 — Equation rendering and loss naming</w:t>
      </w:r>
    </w:p>
    <w:tbl>
      <w:tblPr>
        <w:tblW w:w="5000" w:type="pct"/>
        <w:jc w:val="left"/>
        <w:tblInd w:w="-7" w:type="dxa"/>
        <w:tblLayout w:type="fixed"/>
        <w:tblCellMar>
          <w:top w:w="90" w:type="dxa"/>
          <w:left w:w="90" w:type="dxa"/>
          <w:bottom w:w="90" w:type="dxa"/>
          <w:right w:w="90" w:type="dxa"/>
        </w:tblCellMar>
      </w:tblPr>
      <w:tblGrid>
        <w:gridCol w:w="1790"/>
        <w:gridCol w:w="8748"/>
      </w:tblGrid>
      <w:tr>
        <w:trPr/>
        <w:tc>
          <w:tcPr>
            <w:tcW w:w="1790"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8"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bidi w:val="0"/>
              <w:jc w:val="left"/>
              <w:rPr>
                <w:b/>
                <w:color w:val="1F6F43"/>
              </w:rPr>
            </w:pPr>
            <w:r>
              <w:rPr>
                <w:b/>
                <w:color w:val="1F6F43"/>
              </w:rPr>
              <w:t>FINAL</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8"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"Several equations have rendering or notation problems that should be checked against the source. Equation (5) and Equation (6) contain what appear to be malformed brackets/subscripts; the L_shape term in the text (Section III-C, final paragraph) is written as L_SDF in Equation (5) and Algorithm 1 uses L_SDF(Ẑ; G_θ) — please unify the naming of this loss."</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 thank the reviewer. We checked every equation against the LaTeX source and corrected the following.</w:t>
            </w:r>
          </w:p>
          <w:p>
            <w:pPr>
              <w:pStyle w:val="TableContents"/>
              <w:bidi w:val="0"/>
              <w:spacing w:before="0" w:after="283"/>
              <w:jc w:val="left"/>
              <w:rPr/>
            </w:pPr>
            <w:r>
              <w:rPr>
                <w:b/>
              </w:rPr>
              <w:t>Loss naming.</w:t>
            </w:r>
            <w:r>
              <w:rPr/>
              <w:t xml:space="preserve"> The shape reconstruction loss is now called L</w:t>
            </w:r>
            <w:r>
              <w:rPr>
                <w:position w:val="-2"/>
                <w:sz w:val="18"/>
              </w:rPr>
              <w:t>SDF</w:t>
            </w:r>
            <w:r>
              <w:rPr/>
              <w:t xml:space="preserve"> everywhere (Section III-C, Eq. 5 and Algorithm 1). When it is applied to reconstructed codes through the frozen decoder, it is written L</w:t>
            </w:r>
            <w:r>
              <w:rPr>
                <w:position w:val="-2"/>
                <w:sz w:val="18"/>
              </w:rPr>
              <w:t>SDF</w:t>
            </w:r>
            <w:r>
              <w:rPr/>
              <w:t>(Ẑ; θ).</w:t>
            </w:r>
          </w:p>
          <w:p>
            <w:pPr>
              <w:pStyle w:val="TableContents"/>
              <w:bidi w:val="0"/>
              <w:spacing w:before="0" w:after="283"/>
              <w:jc w:val="left"/>
              <w:rPr/>
            </w:pPr>
            <w:r>
              <w:rPr>
                <w:b/>
              </w:rPr>
              <w:t>Eqs. (5) and (6)</w:t>
            </w:r>
            <w:r>
              <w:rPr/>
              <w:t xml:space="preserve"> were rewritten with explicit arguments and balanced brackets:</w:t>
            </w:r>
          </w:p>
          <w:p>
            <w:pPr>
              <w:pStyle w:val="TableContents"/>
              <w:bidi w:val="0"/>
              <w:spacing w:before="0" w:after="283"/>
              <w:jc w:val="left"/>
              <w:rPr/>
            </w:pPr>
            <w:r>
              <w:rPr/>
              <w:t>(5) L</w:t>
            </w:r>
            <w:r>
              <w:rPr>
                <w:position w:val="-2"/>
                <w:sz w:val="18"/>
              </w:rPr>
              <w:t>disentangle</w:t>
            </w:r>
            <w:r>
              <w:rPr/>
              <w:t>(φ, ψ) = L</w:t>
            </w:r>
            <w:r>
              <w:rPr>
                <w:position w:val="-2"/>
                <w:sz w:val="18"/>
              </w:rPr>
              <w:t>VAE</w:t>
            </w:r>
            <w:r>
              <w:rPr/>
              <w:t>(φ, ψ) + λ</w:t>
            </w:r>
            <w:r>
              <w:rPr>
                <w:position w:val="-2"/>
                <w:sz w:val="18"/>
              </w:rPr>
              <w:t>snnl</w:t>
            </w:r>
            <w:r>
              <w:rPr/>
              <w:t xml:space="preserve"> L</w:t>
            </w:r>
            <w:r>
              <w:rPr>
                <w:position w:val="-2"/>
                <w:sz w:val="18"/>
              </w:rPr>
              <w:t>SNNL</w:t>
            </w:r>
            <w:r>
              <w:rPr/>
              <w:t>(Z</w:t>
            </w:r>
            <w:r>
              <w:rPr>
                <w:position w:val="7"/>
                <w:sz w:val="18"/>
              </w:rPr>
              <w:t>v</w:t>
            </w:r>
            <w:r>
              <w:rPr/>
              <w:t>; ỹ, a) + λ</w:t>
            </w:r>
            <w:r>
              <w:rPr>
                <w:position w:val="-2"/>
                <w:sz w:val="18"/>
              </w:rPr>
              <w:t>cov</w:t>
            </w:r>
            <w:r>
              <w:rPr/>
              <w:t xml:space="preserve"> L</w:t>
            </w:r>
            <w:r>
              <w:rPr>
                <w:position w:val="-2"/>
                <w:sz w:val="18"/>
              </w:rPr>
              <w:t>cov</w:t>
            </w:r>
            <w:r>
              <w:rPr/>
              <w:t>(Z</w:t>
            </w:r>
            <w:r>
              <w:rPr>
                <w:position w:val="7"/>
                <w:sz w:val="18"/>
              </w:rPr>
              <w:t>v</w:t>
            </w:r>
            <w:r>
              <w:rPr/>
              <w:t>) + λ</w:t>
            </w:r>
            <w:r>
              <w:rPr>
                <w:position w:val="-2"/>
                <w:sz w:val="18"/>
              </w:rPr>
              <w:t>dis_sen</w:t>
            </w:r>
            <w:r>
              <w:rPr/>
              <w:t xml:space="preserve"> L</w:t>
            </w:r>
            <w:r>
              <w:rPr>
                <w:position w:val="-2"/>
                <w:sz w:val="18"/>
              </w:rPr>
              <w:t>dis_sen</w:t>
            </w:r>
            <w:r>
              <w:rPr/>
              <w:t>(Z</w:t>
            </w:r>
            <w:r>
              <w:rPr>
                <w:position w:val="7"/>
                <w:sz w:val="18"/>
              </w:rPr>
              <w:t>v</w:t>
            </w:r>
            <w:r>
              <w:rPr/>
              <w:t>; ψ) + λ</w:t>
            </w:r>
            <w:r>
              <w:rPr>
                <w:position w:val="-2"/>
                <w:sz w:val="18"/>
              </w:rPr>
              <w:t>SDF</w:t>
            </w:r>
            <w:r>
              <w:rPr/>
              <w:t xml:space="preserve"> L</w:t>
            </w:r>
            <w:r>
              <w:rPr>
                <w:position w:val="-2"/>
                <w:sz w:val="18"/>
              </w:rPr>
              <w:t>SDF</w:t>
            </w:r>
            <w:r>
              <w:rPr/>
              <w:t>(Ẑ; θ)</w:t>
            </w:r>
          </w:p>
          <w:p>
            <w:pPr>
              <w:pStyle w:val="TableContents"/>
              <w:bidi w:val="0"/>
              <w:spacing w:before="0" w:after="283"/>
              <w:jc w:val="left"/>
              <w:rPr/>
            </w:pPr>
            <w:r>
              <w:rPr/>
              <w:t>(6) L</w:t>
            </w:r>
            <w:r>
              <w:rPr>
                <w:position w:val="-2"/>
                <w:sz w:val="18"/>
              </w:rPr>
              <w:t>VAE</w:t>
            </w:r>
            <w:r>
              <w:rPr/>
              <w:t>(φ, ψ) = λ</w:t>
            </w:r>
            <w:r>
              <w:rPr>
                <w:position w:val="-2"/>
                <w:sz w:val="18"/>
              </w:rPr>
              <w:t>code</w:t>
            </w:r>
            <w:r>
              <w:rPr/>
              <w:t xml:space="preserve"> L</w:t>
            </w:r>
            <w:r>
              <w:rPr>
                <w:position w:val="-2"/>
                <w:sz w:val="18"/>
              </w:rPr>
              <w:t>code</w:t>
            </w:r>
            <w:r>
              <w:rPr/>
              <w:t>(Z, Ẑ) + β D</w:t>
            </w:r>
            <w:r>
              <w:rPr>
                <w:position w:val="-2"/>
                <w:sz w:val="18"/>
              </w:rPr>
              <w:t>KL</w:t>
            </w:r>
            <w:r>
              <w:rPr/>
              <w:t>( q</w:t>
            </w:r>
            <w:r>
              <w:rPr>
                <w:position w:val="-2"/>
                <w:sz w:val="18"/>
              </w:rPr>
              <w:t>φ</w:t>
            </w:r>
            <w:r>
              <w:rPr/>
              <w:t>(Z</w:t>
            </w:r>
            <w:r>
              <w:rPr>
                <w:position w:val="7"/>
                <w:sz w:val="18"/>
              </w:rPr>
              <w:t>v</w:t>
            </w:r>
            <w:r>
              <w:rPr/>
              <w:t xml:space="preserve"> | Z) ‖ N(0, I) )</w:t>
            </w:r>
          </w:p>
          <w:p>
            <w:pPr>
              <w:pStyle w:val="TableContents"/>
              <w:bidi w:val="0"/>
              <w:spacing w:before="0" w:after="283"/>
              <w:jc w:val="left"/>
              <w:rPr>
                <w:b/>
              </w:rPr>
            </w:pPr>
            <w:r>
              <w:rPr>
                <w:b/>
              </w:rPr>
              <w:t>Further corrections found during this check:</w:t>
            </w:r>
          </w:p>
          <w:p>
            <w:pPr>
              <w:pStyle w:val="TableContents"/>
              <w:bidi w:val="0"/>
              <w:spacing w:before="0" w:after="283"/>
              <w:jc w:val="left"/>
              <w:rPr/>
            </w:pPr>
            <w:r>
              <w:rPr/>
              <w:t xml:space="preserve">• </w:t>
            </w:r>
            <w:r>
              <w:rPr/>
              <w:t>Eq. (4) previously wrote the mixture density on the whole code matrix Z. It is now the average per-code negative log-likelihood:</w:t>
              <w:br/>
              <w:t>L</w:t>
            </w:r>
            <w:r>
              <w:rPr>
                <w:position w:val="-2"/>
                <w:sz w:val="18"/>
              </w:rPr>
              <w:t>GMM</w:t>
            </w:r>
            <w:r>
              <w:rPr/>
              <w:t>(Z) = −(1/N) Σ</w:t>
            </w:r>
            <w:r>
              <w:rPr>
                <w:position w:val="-2"/>
                <w:sz w:val="18"/>
              </w:rPr>
              <w:t>i=1..N</w:t>
            </w:r>
            <w:r>
              <w:rPr/>
              <w:t xml:space="preserve"> log Σ</w:t>
            </w:r>
            <w:r>
              <w:rPr>
                <w:position w:val="-2"/>
                <w:sz w:val="18"/>
              </w:rPr>
              <w:t>m=1..2</w:t>
            </w:r>
            <w:r>
              <w:rPr/>
              <w:t xml:space="preserve"> π</w:t>
            </w:r>
            <w:r>
              <w:rPr>
                <w:position w:val="-2"/>
                <w:sz w:val="18"/>
              </w:rPr>
              <w:t>m</w:t>
            </w:r>
            <w:r>
              <w:rPr/>
              <w:t xml:space="preserve"> N(z</w:t>
            </w:r>
            <w:r>
              <w:rPr>
                <w:position w:val="-2"/>
                <w:sz w:val="18"/>
              </w:rPr>
              <w:t>i</w:t>
            </w:r>
            <w:r>
              <w:rPr/>
              <w:t xml:space="preserve"> | μ</w:t>
            </w:r>
            <w:r>
              <w:rPr>
                <w:position w:val="-2"/>
                <w:sz w:val="18"/>
              </w:rPr>
              <w:t>m</w:t>
            </w:r>
            <w:r>
              <w:rPr/>
              <w:t>, diag(σ</w:t>
            </w:r>
            <w:r>
              <w:rPr>
                <w:position w:val="-2"/>
                <w:sz w:val="18"/>
              </w:rPr>
              <w:t>m</w:t>
            </w:r>
            <w:r>
              <w:rPr>
                <w:position w:val="7"/>
                <w:sz w:val="18"/>
              </w:rPr>
              <w:t>2</w:t>
            </w:r>
            <w:r>
              <w:rPr/>
              <w:t>)).</w:t>
            </w:r>
          </w:p>
          <w:p>
            <w:pPr>
              <w:pStyle w:val="TableContents"/>
              <w:bidi w:val="0"/>
              <w:spacing w:before="0" w:after="283"/>
              <w:jc w:val="left"/>
              <w:rPr/>
            </w:pPr>
            <w:r>
              <w:rPr/>
              <w:t xml:space="preserve">• </w:t>
            </w:r>
            <w:r>
              <w:rPr/>
              <w:t>The symbol α was used both for the SNNL affinity (Eq. 7) and for the decoder sensitivity (Eq. 9). The sensitivity is renamed γ</w:t>
            </w:r>
            <w:r>
              <w:rPr>
                <w:position w:val="-2"/>
                <w:sz w:val="18"/>
              </w:rPr>
              <w:t>c</w:t>
            </w:r>
            <w:r>
              <w:rPr/>
              <w:t>, and the bracketing of Eq. (9) is made explicit:</w:t>
              <w:br/>
              <w:t>L</w:t>
            </w:r>
            <w:r>
              <w:rPr>
                <w:position w:val="-2"/>
                <w:sz w:val="18"/>
              </w:rPr>
              <w:t>dis_sen</w:t>
            </w:r>
            <w:r>
              <w:rPr/>
              <w:t xml:space="preserve"> = (s</w:t>
            </w:r>
            <w:r>
              <w:rPr>
                <w:position w:val="-2"/>
                <w:sz w:val="18"/>
              </w:rPr>
              <w:t>c</w:t>
            </w:r>
            <w:r>
              <w:rPr/>
              <w:t xml:space="preserve"> − s̄</w:t>
            </w:r>
            <w:r>
              <w:rPr>
                <w:position w:val="-2"/>
                <w:sz w:val="18"/>
              </w:rPr>
              <w:t>¬c</w:t>
            </w:r>
            <w:r>
              <w:rPr/>
              <w:t>)</w:t>
            </w:r>
            <w:r>
              <w:rPr>
                <w:position w:val="7"/>
                <w:sz w:val="18"/>
              </w:rPr>
              <w:t>2</w:t>
            </w:r>
            <w:r>
              <w:rPr/>
              <w:t xml:space="preserve"> + ( max(0, η − γ</w:t>
            </w:r>
            <w:r>
              <w:rPr>
                <w:position w:val="-2"/>
                <w:sz w:val="18"/>
              </w:rPr>
              <w:t>c</w:t>
            </w:r>
            <w:r>
              <w:rPr/>
              <w:t>) / η )</w:t>
            </w:r>
            <w:r>
              <w:rPr>
                <w:position w:val="7"/>
                <w:sz w:val="18"/>
              </w:rPr>
              <w:t>2</w:t>
            </w:r>
            <w:r>
              <w:rPr/>
              <w:t>.</w:t>
            </w:r>
          </w:p>
          <w:p>
            <w:pPr>
              <w:pStyle w:val="TableContents"/>
              <w:bidi w:val="0"/>
              <w:spacing w:before="0" w:after="283"/>
              <w:jc w:val="left"/>
              <w:rPr/>
            </w:pPr>
            <w:r>
              <w:rPr/>
              <w:t xml:space="preserve">• </w:t>
            </w:r>
            <w:r>
              <w:rPr/>
              <w:t>In Eq. (7), the non-target index set is now written D</w:t>
            </w:r>
            <w:r>
              <w:rPr>
                <w:position w:val="-2"/>
                <w:sz w:val="18"/>
              </w:rPr>
              <w:t>¬c</w:t>
            </w:r>
            <w:r>
              <w:rPr/>
              <w:t xml:space="preserve"> (previously D</w:t>
            </w:r>
            <w:r>
              <w:rPr>
                <w:position w:val="-2"/>
                <w:sz w:val="18"/>
              </w:rPr>
              <w:t>¬t</w:t>
            </w:r>
            <w:r>
              <w:rPr/>
              <w:t>), consistent with the target coordinate c.</w:t>
            </w:r>
          </w:p>
          <w:p>
            <w:pPr>
              <w:pStyle w:val="TableContents"/>
              <w:bidi w:val="0"/>
              <w:spacing w:before="0" w:after="283"/>
              <w:jc w:val="left"/>
              <w:rPr/>
            </w:pPr>
            <w:r>
              <w:rPr/>
              <w:t xml:space="preserve">• </w:t>
            </w:r>
            <w:r>
              <w:rPr/>
              <w:t xml:space="preserve">The SNNL neighbourhood threshold is written τ, with τ = 0 for the binary disease label and τ = </w:t>
            </w:r>
            <w:r>
              <w:rPr>
                <w:shd w:fill="FFFF00" w:val="clear"/>
              </w:rPr>
              <w:t>[VERIFY: value]</w:t>
            </w:r>
            <w:r>
              <w:rPr/>
              <w:t xml:space="preserve"> for normalized age. Semicolons now separate data arguments from parameters throughout.</w:t>
            </w:r>
          </w:p>
        </w:tc>
      </w:tr>
      <w:tr>
        <w:trPr/>
        <w:tc>
          <w:tcPr>
            <w:tcW w:w="179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Eqs. (1)–(9), Algorithm 1, and the final paragraph of Section III-C revised as above.</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br/>
              <w:t>• The malformed brackets are most likely a \big( or \left( inside an \underbrace. Rebuild Eqs. 5–6 without mixing them, then check the compiled PDF, not only the source.</w:t>
              <w:br/>
              <w:t>• The τ value must match the updated code: the current configs use 0.2 for age, while the paper says 0.05.</w:t>
              <w:br/>
              <w:t>• If the updated code changes which terms are active, Eq. 5 must list exactly those terms (see the Comment 1.3 note).</w:t>
              <w:br/>
              <w:t xml:space="preserve">• </w:t>
            </w:r>
            <w:r>
              <w:rPr>
                <w:b/>
                <w:sz w:val="19"/>
              </w:rPr>
              <w:t>Paper:</w:t>
            </w:r>
            <w:r>
              <w:rPr>
                <w:sz w:val="19"/>
              </w:rPr>
              <w:t xml:space="preserve"> all. </w:t>
            </w:r>
            <w:r>
              <w:rPr>
                <w:b/>
                <w:sz w:val="19"/>
              </w:rPr>
              <w:t>Response:</w:t>
            </w:r>
            <w:r>
              <w:rPr>
                <w:sz w:val="19"/>
              </w:rPr>
              <w:t xml:space="preserve"> as written. </w:t>
            </w:r>
          </w:p>
        </w:tc>
      </w:tr>
    </w:tbl>
    <w:p>
      <w:pPr>
        <w:pStyle w:val="Heading3"/>
        <w:bidi w:val="0"/>
        <w:jc w:val="left"/>
        <w:rPr/>
      </w:pPr>
      <w:r>
        <w:rPr/>
        <w:t>Comment 1.5 — Latent dimension d and the Figure 2 input size</w:t>
      </w:r>
    </w:p>
    <w:tbl>
      <w:tblPr>
        <w:tblW w:w="5000" w:type="pct"/>
        <w:jc w:val="left"/>
        <w:tblInd w:w="-7" w:type="dxa"/>
        <w:tblLayout w:type="fixed"/>
        <w:tblCellMar>
          <w:top w:w="90" w:type="dxa"/>
          <w:left w:w="90" w:type="dxa"/>
          <w:bottom w:w="90" w:type="dxa"/>
          <w:right w:w="90" w:type="dxa"/>
        </w:tblCellMar>
      </w:tblPr>
      <w:tblGrid>
        <w:gridCol w:w="1790"/>
        <w:gridCol w:w="8748"/>
      </w:tblGrid>
      <w:tr>
        <w:trPr/>
        <w:tc>
          <w:tcPr>
            <w:tcW w:w="1790"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8"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bidi w:val="0"/>
              <w:jc w:val="left"/>
              <w:rPr>
                <w:b/>
                <w:color w:val="1F6F43"/>
              </w:rPr>
            </w:pPr>
            <w:r>
              <w:rPr>
                <w:b/>
                <w:color w:val="1F6F43"/>
              </w:rPr>
              <w:t>FINAL</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8"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"Figure 2 caption says the latent shape code is 256-dimensional and the concatenated vector is 259, but the main text (Section III-A) and Algorithm both refer to d-dimensional codes without pinning d. Confirm d = 256 consistently, and note that the block diagram in Figure 2 labels "259" while the text says a 256-D code — make the input dimension explicit."</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We confirm that d = 256 for both datasets and that the stage-2 latent dimension is k = 8. The decoder input is the concatenation of the 256-dimensional shape code and the 3-dimensional query coordinate, giving the 259-dimensional vector shown in Figure 2. At the skip connection, this 259-dimensional input is concatenated with the 253-dimensional output of the preceding layer to restore a width of 512.</w:t>
            </w:r>
          </w:p>
        </w:tc>
      </w:tr>
      <w:tr>
        <w:trPr/>
        <w:tc>
          <w:tcPr>
            <w:tcW w:w="179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Section III-A now states "d = 256" and "k = 8". Algorithm 1 lists the input codes as z</w:t>
            </w:r>
            <w:r>
              <w:rPr>
                <w:position w:val="-2"/>
                <w:sz w:val="18"/>
              </w:rPr>
              <w:t>i</w:t>
            </w:r>
            <w:r>
              <w:rPr/>
              <w:t xml:space="preserve"> ∈ ℝ</w:t>
            </w:r>
            <w:r>
              <w:rPr>
                <w:position w:val="7"/>
                <w:sz w:val="18"/>
              </w:rPr>
              <w:t>256</w:t>
            </w:r>
            <w:r>
              <w:rPr/>
              <w:t>. The Figure 2 diagram labels the input block "256 + 3 = 259", and the caption states this explicitly.</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t xml:space="preserve"> · </w:t>
            </w:r>
            <w:r>
              <w:rPr>
                <w:b/>
                <w:sz w:val="19"/>
              </w:rPr>
              <w:t>Paper:</w:t>
            </w:r>
            <w:r>
              <w:rPr>
                <w:sz w:val="19"/>
              </w:rPr>
              <w:t xml:space="preserve"> all edits. Every current config has CodeLength = 256 and VAELatentDim = 8. </w:t>
            </w:r>
          </w:p>
        </w:tc>
      </w:tr>
    </w:tbl>
    <w:p>
      <w:pPr>
        <w:pStyle w:val="Heading3"/>
        <w:bidi w:val="0"/>
        <w:jc w:val="left"/>
        <w:rPr/>
      </w:pPr>
      <w:r>
        <w:rPr/>
        <w:t>Comment 1.6 — The "~30% shrinkage" claim</w:t>
      </w:r>
    </w:p>
    <w:tbl>
      <w:tblPr>
        <w:tblW w:w="5000" w:type="pct"/>
        <w:jc w:val="left"/>
        <w:tblInd w:w="-7" w:type="dxa"/>
        <w:tblLayout w:type="fixed"/>
        <w:tblCellMar>
          <w:top w:w="90" w:type="dxa"/>
          <w:left w:w="90" w:type="dxa"/>
          <w:bottom w:w="90" w:type="dxa"/>
          <w:right w:w="90" w:type="dxa"/>
        </w:tblCellMar>
      </w:tblPr>
      <w:tblGrid>
        <w:gridCol w:w="1791"/>
        <w:gridCol w:w="8747"/>
      </w:tblGrid>
      <w:tr>
        <w:trPr/>
        <w:tc>
          <w:tcPr>
            <w:tcW w:w="1791"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7"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t xml:space="preserve">Cohort figures </w:t>
            </w:r>
            <w:r>
              <w:rPr>
                <w:b/>
                <w:color w:val="1F6F43"/>
              </w:rPr>
              <w:t>FINAL</w:t>
            </w:r>
            <w:r>
              <w:rPr/>
              <w:t xml:space="preserve"> · generated-shape figures </w:t>
            </w:r>
            <w:r>
              <w:rPr>
                <w:b/>
                <w:color w:val="B26B00"/>
              </w:rPr>
              <w:t>NEEDS RESULT</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7"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"The claim of "~30% shrinkage due to AD" (Section V-D) is stated qualitatively from the generated pairs. If this figure is quantitative, report how it was computed; if illustrative, soften the language."</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 thank the reviewer. The figure was read off the generated pairs and was stated too loosely. We now quantify both the effect in the cohort and the effect reproduced by the generator.</w:t>
            </w:r>
          </w:p>
          <w:p>
            <w:pPr>
              <w:pStyle w:val="TableContents"/>
              <w:bidi w:val="0"/>
              <w:spacing w:before="0" w:after="283"/>
              <w:jc w:val="left"/>
              <w:rPr/>
            </w:pPr>
            <w:r>
              <w:rPr>
                <w:b/>
              </w:rPr>
              <w:t>Cohort.</w:t>
            </w:r>
            <w:r>
              <w:rPr/>
              <w:t xml:space="preserve"> Left hippocampal volume is </w:t>
            </w:r>
            <w:r>
              <w:rPr>
                <w:shd w:fill="C6EFCE" w:val="clear"/>
              </w:rPr>
              <w:t>2121.6 ± 306.8 mm³</w:t>
            </w:r>
            <w:r>
              <w:rPr/>
              <w:t xml:space="preserve"> for CN (477 scans) and </w:t>
            </w:r>
            <w:r>
              <w:rPr>
                <w:shd w:fill="C6EFCE" w:val="clear"/>
              </w:rPr>
              <w:t>1536.1 ± 337.1 mm³</w:t>
            </w:r>
            <w:r>
              <w:rPr/>
              <w:t xml:space="preserve"> for AD (342 scans), so AD hippocampi are </w:t>
            </w:r>
            <w:r>
              <w:rPr>
                <w:shd w:fill="C6EFCE" w:val="clear"/>
              </w:rPr>
              <w:t>27.6%</w:t>
            </w:r>
            <w:r>
              <w:rPr/>
              <w:t xml:space="preserve"> smaller (Cohen's d = </w:t>
            </w:r>
            <w:r>
              <w:rPr>
                <w:shd w:fill="C6EFCE" w:val="clear"/>
              </w:rPr>
              <w:t>1.82</w:t>
            </w:r>
            <w:r>
              <w:rPr/>
              <w:t xml:space="preserve">). Averaged per subject (144 CN, 103 AD), the difference is </w:t>
            </w:r>
            <w:r>
              <w:rPr>
                <w:shd w:fill="C6EFCE" w:val="clear"/>
              </w:rPr>
              <w:t>26.3%</w:t>
            </w:r>
            <w:r>
              <w:rPr/>
              <w:t xml:space="preserve"> (Welch t = </w:t>
            </w:r>
            <w:r>
              <w:rPr>
                <w:shd w:fill="C6EFCE" w:val="clear"/>
              </w:rPr>
              <w:t>13.35</w:t>
            </w:r>
            <w:r>
              <w:rPr/>
              <w:t xml:space="preserve">, p = </w:t>
            </w:r>
            <w:r>
              <w:rPr>
                <w:shd w:fill="C6EFCE" w:val="clear"/>
              </w:rPr>
              <w:t>1.2×10⁻²⁹</w:t>
            </w:r>
            <w:r>
              <w:rPr/>
              <w:t>).</w:t>
            </w:r>
          </w:p>
          <w:p>
            <w:pPr>
              <w:pStyle w:val="TableContents"/>
              <w:bidi w:val="0"/>
              <w:spacing w:before="0" w:after="283"/>
              <w:jc w:val="left"/>
              <w:rPr/>
            </w:pPr>
            <w:r>
              <w:rPr>
                <w:b/>
              </w:rPr>
              <w:t>Generated shapes.</w:t>
            </w:r>
            <w:r>
              <w:rPr/>
              <w:t xml:space="preserve"> We extracted meshes for CN/AD pairs generated at matched ages over </w:t>
            </w:r>
            <w:r>
              <w:rPr>
                <w:shd w:fill="FFFF00" w:val="clear"/>
              </w:rPr>
              <w:t>[FILL: 60–90 years in 1-year steps]</w:t>
            </w:r>
            <w:r>
              <w:rPr/>
              <w:t xml:space="preserve"> and computed their volumes. Generated AD shapes are </w:t>
            </w:r>
            <w:r>
              <w:rPr>
                <w:shd w:fill="FFFF00" w:val="clear"/>
              </w:rPr>
              <w:t>[FILL: mean ± SD]</w:t>
            </w:r>
            <w:r>
              <w:rPr/>
              <w:t xml:space="preserve">% smaller than CN shapes for the pseudo-label model and </w:t>
            </w:r>
            <w:r>
              <w:rPr>
                <w:shd w:fill="FFFF00" w:val="clear"/>
              </w:rPr>
              <w:t>[FILL]</w:t>
            </w:r>
            <w:r>
              <w:rPr/>
              <w:t xml:space="preserve">% smaller for the real-label model. For reference, the volumes printed in Figure 6 correspond to reductions of </w:t>
            </w:r>
            <w:r>
              <w:rPr>
                <w:shd w:fill="C6EFCE" w:val="clear"/>
              </w:rPr>
              <w:t>15.4–23.4%</w:t>
            </w:r>
            <w:r>
              <w:rPr/>
              <w:t xml:space="preserve"> (pseudo-label model) and </w:t>
            </w:r>
            <w:r>
              <w:rPr>
                <w:shd w:fill="C6EFCE" w:val="clear"/>
              </w:rPr>
              <w:t>13.1–27.2%</w:t>
            </w:r>
            <w:r>
              <w:rPr/>
              <w:t xml:space="preserve"> (real-label model) between ages 60 and 90. These reductions rise with age and average </w:t>
            </w:r>
            <w:r>
              <w:rPr>
                <w:shd w:fill="C6EFCE" w:val="clear"/>
              </w:rPr>
              <w:t>19.7%</w:t>
            </w:r>
            <w:r>
              <w:rPr/>
              <w:t xml:space="preserve"> and </w:t>
            </w:r>
            <w:r>
              <w:rPr>
                <w:shd w:fill="C6EFCE" w:val="clear"/>
              </w:rPr>
              <w:t>21.4%</w:t>
            </w:r>
            <w:r>
              <w:rPr/>
              <w:t xml:space="preserve"> respectively, so the generator reproduces roughly 70–80% of the cohort-level difference. We have replaced "~30%" with these measured values.</w:t>
            </w:r>
          </w:p>
        </w:tc>
      </w:tr>
      <w:tr>
        <w:trPr/>
        <w:tc>
          <w:tcPr>
            <w:tcW w:w="1791"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 </w:t>
            </w:r>
            <w:r>
              <w:rPr/>
              <w:t>Section V-D: the qualitative statement is replaced by the measured values (below).</w:t>
              <w:br/>
              <w:t>• Figure 6 caption and Section V-A / Figure 3: the volume definition is stated (</w:t>
            </w:r>
            <w:r>
              <w:rPr>
                <w:shd w:fill="FFFF00" w:val="clear"/>
              </w:rPr>
              <w:t>[VERIFY: left hippocampus only / left + right reference volume / mesh volume in physical units]</w:t>
            </w:r>
            <w:r>
              <w:rPr/>
              <w:t>).</w:t>
            </w:r>
          </w:p>
          <w:p>
            <w:pPr>
              <w:pStyle w:val="TableContents"/>
              <w:bidi w:val="0"/>
              <w:spacing w:before="0" w:after="283"/>
              <w:jc w:val="left"/>
              <w:rPr/>
            </w:pPr>
            <w:r>
              <w:rPr>
                <w:b/>
              </w:rPr>
              <w:t>New text for Section V-D (proposed):</w:t>
            </w:r>
            <w:r>
              <w:rPr/>
              <w:t xml:space="preserve"> </w:t>
            </w:r>
            <w:r>
              <w:rPr>
                <w:i/>
              </w:rPr>
              <w:t xml:space="preserve">"At matched age, generated AD shapes are on average </w:t>
            </w:r>
            <w:r>
              <w:rPr>
                <w:i/>
                <w:shd w:fill="FFFF00" w:val="clear"/>
              </w:rPr>
              <w:t>[FILL]</w:t>
            </w:r>
            <w:r>
              <w:rPr>
                <w:i/>
              </w:rPr>
              <w:t xml:space="preserve">% smaller than generated CN shapes (range </w:t>
            </w:r>
            <w:r>
              <w:rPr>
                <w:i/>
                <w:shd w:fill="FFFF00" w:val="clear"/>
              </w:rPr>
              <w:t>[FILL]</w:t>
            </w:r>
            <w:r>
              <w:rPr>
                <w:i/>
              </w:rPr>
              <w:t>–</w:t>
            </w:r>
            <w:r>
              <w:rPr>
                <w:i/>
                <w:shd w:fill="FFFF00" w:val="clear"/>
              </w:rPr>
              <w:t>[FILL]</w:t>
            </w:r>
            <w:r>
              <w:rPr>
                <w:i/>
              </w:rPr>
              <w:t xml:space="preserve">% over 60–90 years). In the cohort itself, AD hippocampi are 27.6% smaller than CN hippocampi (Cohen's d = 1.82), or 26.3% when averaged per subject. The generator thus reproduces </w:t>
            </w:r>
            <w:r>
              <w:rPr>
                <w:i/>
                <w:shd w:fill="FFFF00" w:val="clear"/>
              </w:rPr>
              <w:t>[FILL]</w:t>
            </w:r>
            <w:r>
              <w:rPr>
                <w:i/>
              </w:rPr>
              <w:t>% of the cohort-level difference, and the generated difference increases with age."</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br/>
              <w:t>• Percentages are unit-free, so they are safe whatever the volume definition. Absolute volumes are not consistent across the paper: the cohort values are left hippocampus (~2,100 mm³), while Figures 3 and 6 show ~4,000 mm³ and Table 2's ΔV = 1401 ≈ 2 × the left-side cluster gap (693 mm³). Define "total volume" once and use it everywhere.</w:t>
              <w:br/>
              <w:t>• Use the subject-level test in the paper; the scan-level p (2.9×10⁻¹⁰¹) assumes independent scans.</w:t>
              <w:br/>
              <w:t>• The Figure 6 ratios above come from the printed volumes: healthy 4315/4198/4109/3986; AD pseudo 3650/3463/3181/3055; AD original 3750/3429/2992/2909. Replace them with the full age-grid computation if the updated model changes Figure 6.</w:t>
              <w:br/>
              <w:t>• Compute: CPU is enough (decode codes → marching cubes → volume).</w:t>
              <w:br/>
              <w:t xml:space="preserve">• </w:t>
            </w:r>
            <w:r>
              <w:rPr>
                <w:b/>
                <w:sz w:val="19"/>
              </w:rPr>
              <w:t>Paper:</w:t>
            </w:r>
            <w:r>
              <w:rPr>
                <w:sz w:val="19"/>
              </w:rPr>
              <w:t xml:space="preserve"> V-D text, volume definition. </w:t>
            </w:r>
            <w:r>
              <w:rPr>
                <w:b/>
                <w:sz w:val="19"/>
              </w:rPr>
              <w:t>Response:</w:t>
            </w:r>
            <w:r>
              <w:rPr>
                <w:sz w:val="19"/>
              </w:rPr>
              <w:t xml:space="preserve"> as written. </w:t>
            </w:r>
          </w:p>
        </w:tc>
      </w:tr>
    </w:tbl>
    <w:p>
      <w:pPr>
        <w:pStyle w:val="Heading2"/>
        <w:bidi w:val="0"/>
        <w:jc w:val="left"/>
        <w:rPr/>
      </w:pPr>
      <w:r>
        <w:rPr/>
        <w:t>Reviewer 2</w:t>
      </w:r>
    </w:p>
    <w:p>
      <w:pPr>
        <w:pStyle w:val="Heading3"/>
        <w:bidi w:val="0"/>
        <w:jc w:val="left"/>
        <w:rPr/>
      </w:pPr>
      <w:r>
        <w:rPr/>
        <w:t>General assessment</w:t>
      </w:r>
    </w:p>
    <w:tbl>
      <w:tblPr>
        <w:tblW w:w="5000" w:type="pct"/>
        <w:jc w:val="left"/>
        <w:tblInd w:w="-7" w:type="dxa"/>
        <w:tblLayout w:type="fixed"/>
        <w:tblCellMar>
          <w:top w:w="90" w:type="dxa"/>
          <w:left w:w="90" w:type="dxa"/>
          <w:bottom w:w="90" w:type="dxa"/>
          <w:right w:w="90" w:type="dxa"/>
        </w:tblCellMar>
      </w:tblPr>
      <w:tblGrid>
        <w:gridCol w:w="1791"/>
        <w:gridCol w:w="8747"/>
      </w:tblGrid>
      <w:tr>
        <w:trPr/>
        <w:tc>
          <w:tcPr>
            <w:tcW w:w="1791"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7"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bidi w:val="0"/>
              <w:jc w:val="left"/>
              <w:rPr>
                <w:b/>
                <w:color w:val="1F6F43"/>
              </w:rPr>
            </w:pPr>
            <w:r>
              <w:rPr>
                <w:b/>
                <w:color w:val="1F6F43"/>
              </w:rPr>
              <w:t>FINAL</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comment</w:t>
            </w:r>
          </w:p>
        </w:tc>
        <w:tc>
          <w:tcPr>
            <w:tcW w:w="8747"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"This is an exciting and well-executed study. The two-stage design is clear, and the use of pseudo labels for label-efficient disease disentanglement is a strong idea."</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We thank the reviewer for this positive assessment. We have addressed each suggestion below.</w:t>
            </w:r>
          </w:p>
        </w:tc>
      </w:tr>
      <w:tr>
        <w:trPr/>
        <w:tc>
          <w:tcPr>
            <w:tcW w:w="1791"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None required.</w:t>
            </w:r>
          </w:p>
        </w:tc>
      </w:tr>
    </w:tbl>
    <w:p>
      <w:pPr>
        <w:pStyle w:val="Heading3"/>
        <w:bidi w:val="0"/>
        <w:jc w:val="left"/>
        <w:rPr/>
      </w:pPr>
      <w:r>
        <w:rPr/>
        <w:t>Comment 2.1 — Patient-disjoint splitting</w:t>
      </w:r>
    </w:p>
    <w:tbl>
      <w:tblPr>
        <w:tblW w:w="5000" w:type="pct"/>
        <w:jc w:val="left"/>
        <w:tblInd w:w="-7" w:type="dxa"/>
        <w:tblLayout w:type="fixed"/>
        <w:tblCellMar>
          <w:top w:w="90" w:type="dxa"/>
          <w:left w:w="90" w:type="dxa"/>
          <w:bottom w:w="90" w:type="dxa"/>
          <w:right w:w="90" w:type="dxa"/>
        </w:tblCellMar>
      </w:tblPr>
      <w:tblGrid>
        <w:gridCol w:w="1791"/>
        <w:gridCol w:w="8747"/>
      </w:tblGrid>
      <w:tr>
        <w:trPr/>
        <w:tc>
          <w:tcPr>
            <w:tcW w:w="1791"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7"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b/>
                <w:color w:val="1F6F43"/>
              </w:rPr>
              <w:t>FINAL</w:t>
            </w:r>
            <w:r>
              <w:rPr/>
              <w:t xml:space="preserve"> pending two VERIFY items</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7"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"Please clarify patient-disjoint splitting, especially for the 819 ADNI scans from 247 subjects."</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 splits are made at the subject level, so every scan of a subject falls in the same partition. The 819 ADNI scans come from 247 subjects (</w:t>
            </w:r>
            <w:r>
              <w:rPr>
                <w:shd w:fill="C6EFCE" w:val="clear"/>
              </w:rPr>
              <w:t>3.32</w:t>
            </w:r>
            <w:r>
              <w:rPr/>
              <w:t xml:space="preserve"> scans per subject on average, range </w:t>
            </w:r>
            <w:r>
              <w:rPr>
                <w:shd w:fill="FFFF00" w:val="clear"/>
              </w:rPr>
              <w:t>[VERIFY: 1–6]</w:t>
            </w:r>
            <w:r>
              <w:rPr/>
              <w:t>). We verified the splits by subject identifier:</w:t>
            </w:r>
          </w:p>
          <w:tbl>
            <w:tblPr>
              <w:tblW w:w="4949" w:type="dxa"/>
              <w:jc w:val="left"/>
              <w:tblInd w:w="-7" w:type="dxa"/>
              <w:tblLayout w:type="fixed"/>
              <w:tblCellMar>
                <w:top w:w="60" w:type="dxa"/>
                <w:left w:w="60" w:type="dxa"/>
                <w:bottom w:w="60" w:type="dxa"/>
                <w:right w:w="60" w:type="dxa"/>
              </w:tblCellMar>
            </w:tblPr>
            <w:tblGrid>
              <w:gridCol w:w="1130"/>
              <w:gridCol w:w="951"/>
              <w:gridCol w:w="696"/>
              <w:gridCol w:w="1206"/>
              <w:gridCol w:w="966"/>
            </w:tblGrid>
            <w:tr>
              <w:trPr/>
              <w:tc>
                <w:tcPr>
                  <w:tcW w:w="113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Split</w:t>
                  </w:r>
                </w:p>
              </w:tc>
              <w:tc>
                <w:tcPr>
                  <w:tcW w:w="95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Subjects</w:t>
                  </w:r>
                </w:p>
              </w:tc>
              <w:tc>
                <w:tcPr>
                  <w:tcW w:w="69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Scans</w:t>
                  </w:r>
                </w:p>
              </w:tc>
              <w:tc>
                <w:tcPr>
                  <w:tcW w:w="120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 subjects</w:t>
                  </w:r>
                </w:p>
              </w:tc>
              <w:tc>
                <w:tcPr>
                  <w:tcW w:w="96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 scans</w:t>
                  </w:r>
                </w:p>
              </w:tc>
            </w:tr>
            <w:tr>
              <w:trPr/>
              <w:tc>
                <w:tcPr>
                  <w:tcW w:w="11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Train</w:t>
                  </w:r>
                </w:p>
              </w:tc>
              <w:tc>
                <w:tcPr>
                  <w:tcW w:w="951" w:type="dxa"/>
                  <w:tcBorders>
                    <w:left w:val="single" w:sz="2" w:space="0" w:color="808080"/>
                    <w:bottom w:val="single" w:sz="2" w:space="0" w:color="808080"/>
                    <w:right w:val="single" w:sz="6" w:space="0" w:color="808080"/>
                  </w:tcBorders>
                  <w:vAlign w:val="center"/>
                </w:tcPr>
                <w:p>
                  <w:pPr>
                    <w:pStyle w:val="TableContents"/>
                    <w:bidi w:val="0"/>
                    <w:jc w:val="right"/>
                    <w:rPr/>
                  </w:pPr>
                  <w:r>
                    <w:rPr/>
                    <w:t>209</w:t>
                  </w:r>
                </w:p>
              </w:tc>
              <w:tc>
                <w:tcPr>
                  <w:tcW w:w="696" w:type="dxa"/>
                  <w:tcBorders>
                    <w:left w:val="single" w:sz="2" w:space="0" w:color="808080"/>
                    <w:bottom w:val="single" w:sz="2" w:space="0" w:color="808080"/>
                    <w:right w:val="single" w:sz="6" w:space="0" w:color="808080"/>
                  </w:tcBorders>
                  <w:vAlign w:val="center"/>
                </w:tcPr>
                <w:p>
                  <w:pPr>
                    <w:pStyle w:val="TableContents"/>
                    <w:bidi w:val="0"/>
                    <w:jc w:val="right"/>
                    <w:rPr/>
                  </w:pPr>
                  <w:r>
                    <w:rPr/>
                    <w:t>696</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pPr>
                  <w:r>
                    <w:rPr/>
                    <w:t>84.6</w:t>
                  </w:r>
                </w:p>
              </w:tc>
              <w:tc>
                <w:tcPr>
                  <w:tcW w:w="966" w:type="dxa"/>
                  <w:tcBorders>
                    <w:left w:val="single" w:sz="2" w:space="0" w:color="808080"/>
                    <w:bottom w:val="single" w:sz="2" w:space="0" w:color="808080"/>
                    <w:right w:val="single" w:sz="6" w:space="0" w:color="808080"/>
                  </w:tcBorders>
                  <w:vAlign w:val="center"/>
                </w:tcPr>
                <w:p>
                  <w:pPr>
                    <w:pStyle w:val="TableContents"/>
                    <w:bidi w:val="0"/>
                    <w:jc w:val="right"/>
                    <w:rPr/>
                  </w:pPr>
                  <w:r>
                    <w:rPr/>
                    <w:t>85.0</w:t>
                  </w:r>
                </w:p>
              </w:tc>
            </w:tr>
            <w:tr>
              <w:trPr/>
              <w:tc>
                <w:tcPr>
                  <w:tcW w:w="11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Validation</w:t>
                  </w:r>
                </w:p>
              </w:tc>
              <w:tc>
                <w:tcPr>
                  <w:tcW w:w="951" w:type="dxa"/>
                  <w:tcBorders>
                    <w:left w:val="single" w:sz="2" w:space="0" w:color="808080"/>
                    <w:bottom w:val="single" w:sz="2" w:space="0" w:color="808080"/>
                    <w:right w:val="single" w:sz="6" w:space="0" w:color="808080"/>
                  </w:tcBorders>
                  <w:vAlign w:val="center"/>
                </w:tcPr>
                <w:p>
                  <w:pPr>
                    <w:pStyle w:val="TableContents"/>
                    <w:bidi w:val="0"/>
                    <w:jc w:val="right"/>
                    <w:rPr/>
                  </w:pPr>
                  <w:r>
                    <w:rPr/>
                    <w:t>14</w:t>
                  </w:r>
                </w:p>
              </w:tc>
              <w:tc>
                <w:tcPr>
                  <w:tcW w:w="696" w:type="dxa"/>
                  <w:tcBorders>
                    <w:left w:val="single" w:sz="2" w:space="0" w:color="808080"/>
                    <w:bottom w:val="single" w:sz="2" w:space="0" w:color="808080"/>
                    <w:right w:val="single" w:sz="6" w:space="0" w:color="808080"/>
                  </w:tcBorders>
                  <w:vAlign w:val="center"/>
                </w:tcPr>
                <w:p>
                  <w:pPr>
                    <w:pStyle w:val="TableContents"/>
                    <w:bidi w:val="0"/>
                    <w:jc w:val="right"/>
                    <w:rPr/>
                  </w:pPr>
                  <w:r>
                    <w:rPr/>
                    <w:t>46</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pPr>
                  <w:r>
                    <w:rPr/>
                    <w:t>5.7</w:t>
                  </w:r>
                </w:p>
              </w:tc>
              <w:tc>
                <w:tcPr>
                  <w:tcW w:w="966" w:type="dxa"/>
                  <w:tcBorders>
                    <w:left w:val="single" w:sz="2" w:space="0" w:color="808080"/>
                    <w:bottom w:val="single" w:sz="2" w:space="0" w:color="808080"/>
                    <w:right w:val="single" w:sz="6" w:space="0" w:color="808080"/>
                  </w:tcBorders>
                  <w:vAlign w:val="center"/>
                </w:tcPr>
                <w:p>
                  <w:pPr>
                    <w:pStyle w:val="TableContents"/>
                    <w:bidi w:val="0"/>
                    <w:jc w:val="right"/>
                    <w:rPr/>
                  </w:pPr>
                  <w:r>
                    <w:rPr/>
                    <w:t>5.6</w:t>
                  </w:r>
                </w:p>
              </w:tc>
            </w:tr>
            <w:tr>
              <w:trPr/>
              <w:tc>
                <w:tcPr>
                  <w:tcW w:w="11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Test</w:t>
                  </w:r>
                </w:p>
              </w:tc>
              <w:tc>
                <w:tcPr>
                  <w:tcW w:w="951" w:type="dxa"/>
                  <w:tcBorders>
                    <w:left w:val="single" w:sz="2" w:space="0" w:color="808080"/>
                    <w:bottom w:val="single" w:sz="2" w:space="0" w:color="808080"/>
                    <w:right w:val="single" w:sz="6" w:space="0" w:color="808080"/>
                  </w:tcBorders>
                  <w:vAlign w:val="center"/>
                </w:tcPr>
                <w:p>
                  <w:pPr>
                    <w:pStyle w:val="TableContents"/>
                    <w:bidi w:val="0"/>
                    <w:jc w:val="right"/>
                    <w:rPr/>
                  </w:pPr>
                  <w:r>
                    <w:rPr/>
                    <w:t>24</w:t>
                  </w:r>
                </w:p>
              </w:tc>
              <w:tc>
                <w:tcPr>
                  <w:tcW w:w="696" w:type="dxa"/>
                  <w:tcBorders>
                    <w:left w:val="single" w:sz="2" w:space="0" w:color="808080"/>
                    <w:bottom w:val="single" w:sz="2" w:space="0" w:color="808080"/>
                    <w:right w:val="single" w:sz="6" w:space="0" w:color="808080"/>
                  </w:tcBorders>
                  <w:vAlign w:val="center"/>
                </w:tcPr>
                <w:p>
                  <w:pPr>
                    <w:pStyle w:val="TableContents"/>
                    <w:bidi w:val="0"/>
                    <w:jc w:val="right"/>
                    <w:rPr/>
                  </w:pPr>
                  <w:r>
                    <w:rPr/>
                    <w:t>77</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pPr>
                  <w:r>
                    <w:rPr/>
                    <w:t>9.7</w:t>
                  </w:r>
                </w:p>
              </w:tc>
              <w:tc>
                <w:tcPr>
                  <w:tcW w:w="966" w:type="dxa"/>
                  <w:tcBorders>
                    <w:left w:val="single" w:sz="2" w:space="0" w:color="808080"/>
                    <w:bottom w:val="single" w:sz="2" w:space="0" w:color="808080"/>
                    <w:right w:val="single" w:sz="6" w:space="0" w:color="808080"/>
                  </w:tcBorders>
                  <w:vAlign w:val="center"/>
                </w:tcPr>
                <w:p>
                  <w:pPr>
                    <w:pStyle w:val="TableContents"/>
                    <w:bidi w:val="0"/>
                    <w:jc w:val="right"/>
                    <w:rPr/>
                  </w:pPr>
                  <w:r>
                    <w:rPr/>
                    <w:t>9.4</w:t>
                  </w:r>
                </w:p>
              </w:tc>
            </w:tr>
            <w:tr>
              <w:trPr/>
              <w:tc>
                <w:tcPr>
                  <w:tcW w:w="113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Total</w:t>
                  </w:r>
                </w:p>
              </w:tc>
              <w:tc>
                <w:tcPr>
                  <w:tcW w:w="951" w:type="dxa"/>
                  <w:tcBorders>
                    <w:left w:val="single" w:sz="2" w:space="0" w:color="808080"/>
                    <w:bottom w:val="single" w:sz="6" w:space="0" w:color="808080"/>
                    <w:right w:val="single" w:sz="6" w:space="0" w:color="808080"/>
                  </w:tcBorders>
                  <w:vAlign w:val="center"/>
                </w:tcPr>
                <w:p>
                  <w:pPr>
                    <w:pStyle w:val="TableContents"/>
                    <w:bidi w:val="0"/>
                    <w:jc w:val="right"/>
                    <w:rPr>
                      <w:b/>
                    </w:rPr>
                  </w:pPr>
                  <w:r>
                    <w:rPr>
                      <w:b/>
                    </w:rPr>
                    <w:t>247</w:t>
                  </w:r>
                </w:p>
              </w:tc>
              <w:tc>
                <w:tcPr>
                  <w:tcW w:w="696" w:type="dxa"/>
                  <w:tcBorders>
                    <w:left w:val="single" w:sz="2" w:space="0" w:color="808080"/>
                    <w:bottom w:val="single" w:sz="6" w:space="0" w:color="808080"/>
                    <w:right w:val="single" w:sz="6" w:space="0" w:color="808080"/>
                  </w:tcBorders>
                  <w:vAlign w:val="center"/>
                </w:tcPr>
                <w:p>
                  <w:pPr>
                    <w:pStyle w:val="TableContents"/>
                    <w:bidi w:val="0"/>
                    <w:jc w:val="right"/>
                    <w:rPr>
                      <w:b/>
                    </w:rPr>
                  </w:pPr>
                  <w:r>
                    <w:rPr>
                      <w:b/>
                    </w:rPr>
                    <w:t>819</w:t>
                  </w:r>
                </w:p>
              </w:tc>
              <w:tc>
                <w:tcPr>
                  <w:tcW w:w="1206" w:type="dxa"/>
                  <w:tcBorders>
                    <w:left w:val="single" w:sz="2" w:space="0" w:color="808080"/>
                    <w:bottom w:val="single" w:sz="6" w:space="0" w:color="808080"/>
                    <w:right w:val="single" w:sz="6" w:space="0" w:color="808080"/>
                  </w:tcBorders>
                  <w:vAlign w:val="center"/>
                </w:tcPr>
                <w:p>
                  <w:pPr>
                    <w:pStyle w:val="TableContents"/>
                    <w:bidi w:val="0"/>
                    <w:jc w:val="right"/>
                    <w:rPr/>
                  </w:pPr>
                  <w:r>
                    <w:rPr/>
                    <w:t>100</w:t>
                  </w:r>
                </w:p>
              </w:tc>
              <w:tc>
                <w:tcPr>
                  <w:tcW w:w="966" w:type="dxa"/>
                  <w:tcBorders>
                    <w:left w:val="single" w:sz="2" w:space="0" w:color="808080"/>
                    <w:bottom w:val="single" w:sz="6" w:space="0" w:color="808080"/>
                    <w:right w:val="single" w:sz="6" w:space="0" w:color="808080"/>
                  </w:tcBorders>
                  <w:vAlign w:val="center"/>
                </w:tcPr>
                <w:p>
                  <w:pPr>
                    <w:pStyle w:val="TableContents"/>
                    <w:bidi w:val="0"/>
                    <w:jc w:val="right"/>
                    <w:rPr/>
                  </w:pPr>
                  <w:r>
                    <w:rPr/>
                    <w:t>100</w:t>
                  </w:r>
                </w:p>
              </w:tc>
            </w:tr>
          </w:tbl>
          <w:p>
            <w:pPr>
              <w:pStyle w:val="TableContents"/>
              <w:bidi w:val="0"/>
              <w:spacing w:before="0" w:after="283"/>
              <w:jc w:val="left"/>
              <w:rPr/>
            </w:pPr>
            <w:r>
              <w:rPr/>
              <w:t> </w:t>
            </w:r>
          </w:p>
          <w:p>
            <w:pPr>
              <w:pStyle w:val="TableContents"/>
              <w:bidi w:val="0"/>
              <w:spacing w:before="0" w:after="283"/>
              <w:jc w:val="left"/>
              <w:rPr/>
            </w:pPr>
            <w:r>
              <w:rPr/>
              <w:t xml:space="preserve">No subject appears in more than one partition (train ∩ validation = train ∩ test = validation ∩ test = 0 subjects). The splits are stratified by diagnosis </w:t>
            </w:r>
            <w:r>
              <w:rPr>
                <w:shd w:fill="FFFF00" w:val="clear"/>
              </w:rPr>
              <w:t>[VERIFY: and by sex and age]</w:t>
            </w:r>
            <w:r>
              <w:rPr/>
              <w:t>. In checking this, we found that the manuscript incorrectly described the split as 80%/10%/10%; the actual proportions are those in the table above, and the text has been corrected. OAI-ZIB contains one scan per subject, so its splits are disjoint by construction. In the statistical analysis (Comment 1.2), all resampling is done at the subject level so that repeated scans do not inflate precision.</w:t>
            </w:r>
          </w:p>
          <w:p>
            <w:pPr>
              <w:pStyle w:val="TableContents"/>
              <w:bidi w:val="0"/>
              <w:spacing w:before="0" w:after="283"/>
              <w:jc w:val="left"/>
              <w:rPr/>
            </w:pPr>
            <w:r>
              <w:rPr/>
              <w:t xml:space="preserve">We also clarify which data each stage uses. Stage-1 codes are learned on </w:t>
            </w:r>
            <w:r>
              <w:rPr>
                <w:shd w:fill="FFFF00" w:val="clear"/>
              </w:rPr>
              <w:t>[VERIFY: the ADNI training partition (696 scans) / all 819 scans]</w:t>
            </w:r>
            <w:r>
              <w:rPr/>
              <w:t xml:space="preserve">. Pseudo-labels are assigned per scan, and </w:t>
            </w:r>
            <w:r>
              <w:rPr>
                <w:shd w:fill="FFFF00" w:val="clear"/>
              </w:rPr>
              <w:t>[FILL: X]</w:t>
            </w:r>
            <w:r>
              <w:rPr/>
              <w:t>% of subjects have all their scans assigned to the same cluster. Diagnosis labels are never shared across partitions.</w:t>
            </w:r>
          </w:p>
        </w:tc>
      </w:tr>
      <w:tr>
        <w:trPr/>
        <w:tc>
          <w:tcPr>
            <w:tcW w:w="1791"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Section IV-A rewritten with the subject and scan counts per partition and the corrected proportions. Table 1 gains a "scans per subject" entry. The data used by each stage is stated explicitly.</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br/>
              <w:t xml:space="preserve">• </w:t>
            </w:r>
            <w:r>
              <w:rPr>
                <w:b/>
                <w:sz w:val="19"/>
              </w:rPr>
              <w:t>Conflict to resolve:</w:t>
            </w:r>
            <w:r>
              <w:rPr>
                <w:sz w:val="19"/>
              </w:rPr>
              <w:t xml:space="preserve"> the current ADNI stage-1 latent table has 696 codes (training partition only), but Section IV-A says "all scans are used for representation learning". Make the text match what the updated code does.</w:t>
              <w:br/>
              <w:t>• OAI: the current stage-1 table has 234 shapes, while Table 1 reports 191. If the extra shapes (without diagnosis) were used in the unsupervised stage-1, say so; this is legitimate for an unsupervised stage but must be stated.</w:t>
              <w:br/>
              <w:t>• The "% of subjects with all scans in the same cluster" figure is a cheap CPU computation and demonstrates longitudinal stability of the pseudo-labels.</w:t>
              <w:br/>
              <w:t xml:space="preserve">• </w:t>
            </w:r>
            <w:r>
              <w:rPr>
                <w:b/>
                <w:sz w:val="19"/>
              </w:rPr>
              <w:t>Paper:</w:t>
            </w:r>
            <w:r>
              <w:rPr>
                <w:sz w:val="19"/>
              </w:rPr>
              <w:t xml:space="preserve"> IV-A text, corrected ratio, Table 1. </w:t>
            </w:r>
            <w:r>
              <w:rPr>
                <w:b/>
                <w:sz w:val="19"/>
              </w:rPr>
              <w:t>Response:</w:t>
            </w:r>
            <w:r>
              <w:rPr>
                <w:sz w:val="19"/>
              </w:rPr>
              <w:t xml:space="preserve"> table above. </w:t>
            </w:r>
          </w:p>
        </w:tc>
      </w:tr>
    </w:tbl>
    <w:p>
      <w:pPr>
        <w:pStyle w:val="Heading3"/>
        <w:bidi w:val="0"/>
        <w:jc w:val="left"/>
        <w:rPr/>
      </w:pPr>
      <w:r>
        <w:rPr/>
        <w:t>Comment 2.2 — Confidence intervals for all key metrics</w:t>
      </w:r>
    </w:p>
    <w:tbl>
      <w:tblPr>
        <w:tblW w:w="5000" w:type="pct"/>
        <w:jc w:val="left"/>
        <w:tblInd w:w="-7" w:type="dxa"/>
        <w:tblLayout w:type="fixed"/>
        <w:tblCellMar>
          <w:top w:w="90" w:type="dxa"/>
          <w:left w:w="90" w:type="dxa"/>
          <w:bottom w:w="90" w:type="dxa"/>
          <w:right w:w="90" w:type="dxa"/>
        </w:tblCellMar>
      </w:tblPr>
      <w:tblGrid>
        <w:gridCol w:w="1791"/>
        <w:gridCol w:w="8747"/>
      </w:tblGrid>
      <w:tr>
        <w:trPr/>
        <w:tc>
          <w:tcPr>
            <w:tcW w:w="1791"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7"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b/>
                <w:color w:val="B26B00"/>
              </w:rPr>
              <w:t>NEEDS RESULT</w:t>
            </w:r>
            <w:r>
              <w:rPr/>
              <w:t xml:space="preserve"> · </w:t>
            </w:r>
            <w:r>
              <w:rPr>
                <w:b/>
                <w:color w:val="B00020"/>
              </w:rPr>
              <w:t>DECISION</w:t>
            </w:r>
            <w:r>
              <w:rPr/>
              <w:t xml:space="preserve"> for Figures 4 and 5</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7"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"Report confidence intervals or standard deviations for all key metrics, not only some ablations."</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 agree. Dispersion is now reported for every key result:</w:t>
            </w:r>
          </w:p>
          <w:p>
            <w:pPr>
              <w:pStyle w:val="TableContents"/>
              <w:bidi w:val="0"/>
              <w:spacing w:before="0" w:after="283"/>
              <w:jc w:val="left"/>
              <w:rPr/>
            </w:pPr>
            <w:r>
              <w:rPr/>
              <w:t xml:space="preserve">• </w:t>
            </w:r>
            <w:r>
              <w:rPr>
                <w:b/>
              </w:rPr>
              <w:t>Tables 3 and 4:</w:t>
            </w:r>
            <w:r>
              <w:rPr/>
              <w:t xml:space="preserve"> mean ± SD over five seeds, with bootstrap SD for deterministic methods and paired tests (Comment 1.2).</w:t>
              <w:br/>
              <w:t xml:space="preserve">• </w:t>
            </w:r>
            <w:r>
              <w:rPr>
                <w:b/>
              </w:rPr>
              <w:t>Table 2 (stage 1):</w:t>
            </w:r>
            <w:r>
              <w:rPr/>
              <w:t xml:space="preserve"> purity, balanced accuracy, κ and ARI with 95% subject-level bootstrap confidence intervals </w:t>
            </w:r>
            <w:r>
              <w:rPr>
                <w:shd w:fill="FFFF00" w:val="clear"/>
              </w:rPr>
              <w:t>[FILL]</w:t>
            </w:r>
            <w:r>
              <w:rPr/>
              <w:t>.</w:t>
              <w:br/>
              <w:t xml:space="preserve">• </w:t>
            </w:r>
            <w:r>
              <w:rPr>
                <w:b/>
              </w:rPr>
              <w:t>Sensitivity analysis:</w:t>
            </w:r>
            <w:r>
              <w:rPr/>
              <w:t xml:space="preserve"> mean ± SD over three seeds per setting (Comment 1.3).</w:t>
              <w:br/>
              <w:t xml:space="preserve">• </w:t>
            </w:r>
            <w:r>
              <w:rPr>
                <w:b/>
              </w:rPr>
              <w:t>Figure 4 (label fraction):</w:t>
            </w:r>
            <w:r>
              <w:rPr/>
              <w:t xml:space="preserve"> </w:t>
            </w:r>
            <w:r>
              <w:rPr>
                <w:shd w:fill="FFFF00" w:val="clear"/>
              </w:rPr>
              <w:t>[DECISION: error bars over three seeds / 95% subject-level bootstrap bands]</w:t>
            </w:r>
            <w:r>
              <w:rPr/>
              <w:t>.</w:t>
              <w:br/>
              <w:t xml:space="preserve">• </w:t>
            </w:r>
            <w:r>
              <w:rPr>
                <w:b/>
              </w:rPr>
              <w:t>Figure 5 (pseudo-label noise):</w:t>
            </w:r>
            <w:r>
              <w:rPr/>
              <w:t xml:space="preserve"> </w:t>
            </w:r>
            <w:r>
              <w:rPr>
                <w:shd w:fill="FFFF00" w:val="clear"/>
              </w:rPr>
              <w:t>[DECISION: error bars over three seeds / 95% subject-level bootstrap bands]</w:t>
            </w:r>
            <w:r>
              <w:rPr/>
              <w:t>.</w:t>
              <w:br/>
              <w:t xml:space="preserve">• </w:t>
            </w:r>
            <w:r>
              <w:rPr>
                <w:b/>
              </w:rPr>
              <w:t>Volume validation (Comments 1.6 and 2.6):</w:t>
            </w:r>
            <w:r>
              <w:rPr/>
              <w:t xml:space="preserve"> SD over the age grid and bootstrap CIs for the cohort statistics.</w:t>
            </w:r>
          </w:p>
        </w:tc>
      </w:tr>
      <w:tr>
        <w:trPr/>
        <w:tc>
          <w:tcPr>
            <w:tcW w:w="1791"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Tables 2, 3 and 4, the new sensitivity table and Figures 4 and 5 updated. The type of interval (seed SD or bootstrap CI) is stated in every caption.</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br/>
              <w:t xml:space="preserve">• </w:t>
            </w:r>
            <w:r>
              <w:rPr>
                <w:b/>
                <w:sz w:val="19"/>
              </w:rPr>
              <w:t>Figure 5 must be regenerated regardless.</w:t>
            </w:r>
            <w:r>
              <w:rPr>
                <w:sz w:val="19"/>
              </w:rPr>
              <w:t xml:space="preserve"> The SAP values in the noise-sweep CSV on disk (0.134 / 0.058 / 0.054 / 0.118 / 0.058 at 10–50% flips) do not match the plotted curve (≈ 0.30 / 0.22 / 0.22 / 0.13 / 0.14), and there is no 0% point. The purity panel does reproduce.</w:t>
              <w:br/>
              <w:t>• Figure 4: the 10% runs have no saved checkpoints. Seeds for every point (10 fractions × 2 settings × 2 datasets × 3 seeds) are expensive. The minimum honest option is bootstrap bands on single runs plus re-running the missing points, with the caption saying "single run per point; shaded = 95% subject-level bootstrap".</w:t>
              <w:br/>
              <w:t xml:space="preserve">• </w:t>
            </w:r>
            <w:r>
              <w:rPr>
                <w:b/>
                <w:sz w:val="19"/>
              </w:rPr>
              <w:t>Paper:</w:t>
            </w:r>
            <w:r>
              <w:rPr>
                <w:sz w:val="19"/>
              </w:rPr>
              <w:t xml:space="preserve"> all captions state the interval type. </w:t>
            </w:r>
            <w:r>
              <w:rPr>
                <w:b/>
                <w:sz w:val="19"/>
              </w:rPr>
              <w:t>Response:</w:t>
            </w:r>
            <w:r>
              <w:rPr>
                <w:sz w:val="19"/>
              </w:rPr>
              <w:t xml:space="preserve"> as written. </w:t>
            </w:r>
          </w:p>
        </w:tc>
      </w:tr>
    </w:tbl>
    <w:p>
      <w:pPr>
        <w:pStyle w:val="Heading3"/>
        <w:bidi w:val="0"/>
        <w:jc w:val="left"/>
        <w:rPr/>
      </w:pPr>
      <w:r>
        <w:rPr/>
        <w:t>Comment 2.3 — SDF sampling, mesh normalization, GMM assignment, Optuna ranges</w:t>
      </w:r>
    </w:p>
    <w:tbl>
      <w:tblPr>
        <w:tblW w:w="5000" w:type="pct"/>
        <w:jc w:val="left"/>
        <w:tblInd w:w="-7" w:type="dxa"/>
        <w:tblLayout w:type="fixed"/>
        <w:tblCellMar>
          <w:top w:w="90" w:type="dxa"/>
          <w:left w:w="90" w:type="dxa"/>
          <w:bottom w:w="90" w:type="dxa"/>
          <w:right w:w="90" w:type="dxa"/>
        </w:tblCellMar>
      </w:tblPr>
      <w:tblGrid>
        <w:gridCol w:w="1790"/>
        <w:gridCol w:w="8748"/>
      </w:tblGrid>
      <w:tr>
        <w:trPr/>
        <w:tc>
          <w:tcPr>
            <w:tcW w:w="1790"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8"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b/>
                <w:color w:val="1F6F43"/>
              </w:rPr>
              <w:t>FINAL</w:t>
            </w:r>
            <w:r>
              <w:rPr/>
              <w:t xml:space="preserve"> text · several </w:t>
            </w:r>
            <w:r>
              <w:rPr>
                <w:shd w:fill="FFFF00" w:val="clear"/>
              </w:rPr>
              <w:t>VERIFY</w:t>
            </w:r>
            <w:r>
              <w:rPr/>
              <w:t xml:space="preserve"> items</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8"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"Add more detail on SDF sampling, mesh normalization, GMM cluster assignment, and Optuna search ranges."</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 have added these details to Sections IV-A and IV-B and to a new Appendix A.</w:t>
            </w:r>
          </w:p>
          <w:p>
            <w:pPr>
              <w:pStyle w:val="TableContents"/>
              <w:bidi w:val="0"/>
              <w:spacing w:before="0" w:after="283"/>
              <w:jc w:val="left"/>
              <w:rPr/>
            </w:pPr>
            <w:r>
              <w:rPr>
                <w:b/>
              </w:rPr>
              <w:t>Mesh extraction and normalization.</w:t>
            </w:r>
            <w:r>
              <w:rPr/>
              <w:t xml:space="preserve"> Each binary mask is converted to a surface mesh by marching cubes at iso-value 0.5, smoothed for three iterations </w:t>
            </w:r>
            <w:r>
              <w:rPr>
                <w:shd w:fill="FFFF00" w:val="clear"/>
              </w:rPr>
              <w:t>[VERIFY: Laplacian / Taubin]</w:t>
            </w:r>
            <w:r>
              <w:rPr/>
              <w:t xml:space="preserve">, and translated so that its centroid lies at the origin. All shapes of a dataset are scaled by one global factor </w:t>
            </w:r>
            <w:r>
              <w:rPr>
                <w:shd w:fill="FFFF00" w:val="clear"/>
              </w:rPr>
              <w:t>[VERIFY]</w:t>
            </w:r>
            <w:r>
              <w:rPr/>
              <w:t>, so relative size — which carries much of the disease signal — is preserved. The normalization parameters of each shape are stored so that volumes and Chamfer distances can be reported in physical units.</w:t>
            </w:r>
          </w:p>
          <w:p>
            <w:pPr>
              <w:pStyle w:val="TableContents"/>
              <w:bidi w:val="0"/>
              <w:spacing w:before="0" w:after="283"/>
              <w:jc w:val="left"/>
              <w:rPr/>
            </w:pPr>
            <w:r>
              <w:rPr>
                <w:b/>
              </w:rPr>
              <w:t>SDF sampling.</w:t>
            </w:r>
            <w:r>
              <w:rPr/>
              <w:t xml:space="preserve"> Following DeepSDF, we draw 500,000 query points per shape </w:t>
            </w:r>
            <w:r>
              <w:rPr>
                <w:shd w:fill="FFFF00" w:val="clear"/>
              </w:rPr>
              <w:t>[VERIFY: preprocessing flags]</w:t>
            </w:r>
            <w:r>
              <w:rPr/>
              <w:t xml:space="preserve">. Of these, 94% are near-surface points obtained by perturbing surface samples with zero-mean Gaussian noise at two scales (variances 0.005 and 0.0005), and 6% are sampled uniformly within </w:t>
            </w:r>
            <w:r>
              <w:rPr>
                <w:shd w:fill="FFFF00" w:val="clear"/>
              </w:rPr>
              <w:t>[VERIFY: the unit sphere / bounding box]</w:t>
            </w:r>
            <w:r>
              <w:rPr/>
              <w:t>. Signed distances are clamped at δ = 0.1, and each training iteration draws 16,384 points per shape.</w:t>
            </w:r>
          </w:p>
          <w:p>
            <w:pPr>
              <w:pStyle w:val="TableContents"/>
              <w:bidi w:val="0"/>
              <w:spacing w:before="0" w:after="283"/>
              <w:jc w:val="left"/>
              <w:rPr/>
            </w:pPr>
            <w:r>
              <w:rPr>
                <w:b/>
              </w:rPr>
              <w:t>GMM prior and pseudo-label assignment.</w:t>
            </w:r>
            <w:r>
              <w:rPr/>
              <w:t xml:space="preserve"> The stage-1 prior has two components with diagonal covariances, learnable means and variances, and fixed equal mixture weights (π</w:t>
            </w:r>
            <w:r>
              <w:rPr>
                <w:position w:val="-2"/>
                <w:sz w:val="18"/>
              </w:rPr>
              <w:t>1</w:t>
            </w:r>
            <w:r>
              <w:rPr/>
              <w:t xml:space="preserve"> = π</w:t>
            </w:r>
            <w:r>
              <w:rPr>
                <w:position w:val="-2"/>
                <w:sz w:val="18"/>
              </w:rPr>
              <w:t>2</w:t>
            </w:r>
            <w:r>
              <w:rPr/>
              <w:t xml:space="preserve"> = 0.5). Its standard deviations are initialized at 0.6 and bounded below by 0.5, and its weight is λ</w:t>
            </w:r>
            <w:r>
              <w:rPr>
                <w:position w:val="-2"/>
                <w:sz w:val="18"/>
              </w:rPr>
              <w:t>gmm</w:t>
            </w:r>
            <w:r>
              <w:rPr/>
              <w:t xml:space="preserve"> = </w:t>
            </w:r>
            <w:r>
              <w:rPr>
                <w:shd w:fill="FFFF00" w:val="clear"/>
              </w:rPr>
              <w:t>[VERIFY: 10⁻³ or 10⁻⁵]</w:t>
            </w:r>
            <w:r>
              <w:rPr/>
              <w:t>. After stage 1, each shape is assigned ỹ</w:t>
            </w:r>
            <w:r>
              <w:rPr>
                <w:position w:val="-2"/>
                <w:sz w:val="18"/>
              </w:rPr>
              <w:t>i</w:t>
            </w:r>
            <w:r>
              <w:rPr/>
              <w:t xml:space="preserve"> = argmax</w:t>
            </w:r>
            <w:r>
              <w:rPr>
                <w:position w:val="-2"/>
                <w:sz w:val="18"/>
              </w:rPr>
              <w:t>m</w:t>
            </w:r>
            <w:r>
              <w:rPr/>
              <w:t xml:space="preserve"> p(m | z</w:t>
            </w:r>
            <w:r>
              <w:rPr>
                <w:position w:val="-2"/>
                <w:sz w:val="18"/>
              </w:rPr>
              <w:t>i</w:t>
            </w:r>
            <w:r>
              <w:rPr/>
              <w:t xml:space="preserve">) under </w:t>
            </w:r>
            <w:r>
              <w:rPr>
                <w:shd w:fill="FFFF00" w:val="clear"/>
              </w:rPr>
              <w:t>[FILL: the learned prior parameters / a two-component diagonal GMM refitted by EM with N restarts]</w:t>
            </w:r>
            <w:r>
              <w:rPr/>
              <w:t xml:space="preserve">. Clusters are identified as disease or healthy by </w:t>
            </w:r>
            <w:r>
              <w:rPr>
                <w:shd w:fill="FFFF00" w:val="clear"/>
              </w:rPr>
              <w:t>[FILL: e.g., the lower mean volume for ADNI; ... for OAI]</w:t>
            </w:r>
            <w:r>
              <w:rPr/>
              <w:t>; in the mixed-label experiments (Figure 4), cluster identity is set by majority vote on the labelled subset. This identification does not affect SAP or |r|, but it determines how pseudo-labels combine with real labels. The fixed equal mixture weights are a deliberate choice, analysed in Comment 2.4.</w:t>
            </w:r>
          </w:p>
          <w:p>
            <w:pPr>
              <w:pStyle w:val="TableContents"/>
              <w:bidi w:val="0"/>
              <w:spacing w:before="0" w:after="283"/>
              <w:jc w:val="left"/>
              <w:rPr/>
            </w:pPr>
            <w:r>
              <w:rPr>
                <w:b/>
              </w:rPr>
              <w:t>Optuna search.</w:t>
            </w:r>
            <w:r>
              <w:rPr/>
              <w:t xml:space="preserve"> The full search space, sampler, number of trials, trial length and selection objective are given in Appendix Table A1 and described in our response to Comment 1.3.</w:t>
            </w:r>
          </w:p>
        </w:tc>
      </w:tr>
      <w:tr>
        <w:trPr/>
        <w:tc>
          <w:tcPr>
            <w:tcW w:w="179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Sections IV-A and IV-B expanded. New Appendix A (preprocessing and sampling) and Appendix Table A1 (search space) added.</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widowControl w:val="false"/>
              <w:suppressLineNumbers/>
              <w:bidi w:val="0"/>
              <w:jc w:val="left"/>
              <w:rPr/>
            </w:pPr>
            <w:r>
              <w:rPr>
                <w:b/>
                <w:sz w:val="19"/>
              </w:rPr>
              <w:t>AUTHOR NOTE — DELETE BEFORE SUBMISSION</w:t>
            </w:r>
            <w:r>
              <w:rPr>
                <w:sz w:val="19"/>
              </w:rPr>
              <w:br/>
              <w:t>• λ_gmm: the paper says 10⁻³; the current stage-1 config says 1e-5. Use whatever the final run used.</w:t>
              <w:br/>
              <w:t>• How clusters are named disease or healthy without ground truth is a question reviewers are likely to ask next. Answer it truthfully, and if ground truth was used anywhere for naming, say so.</w:t>
              <w:br/>
              <w:t xml:space="preserve">• Put the reproduction pitfall in the README only, not the paper: clustering the exported </w:t>
            </w:r>
            <w:r>
              <w:rPr>
                <w:rStyle w:val="SourceText"/>
                <w:sz w:val="19"/>
              </w:rPr>
              <w:t>train_latents.pt</w:t>
            </w:r>
            <w:r>
              <w:rPr>
                <w:sz w:val="19"/>
              </w:rPr>
              <w:t xml:space="preserve"> with a default GMM gives chance-level agreement; the trained latent table must be used.</w:t>
              <w:br/>
              <w:t xml:space="preserve">• </w:t>
            </w:r>
            <w:r>
              <w:rPr>
                <w:b/>
                <w:sz w:val="19"/>
              </w:rPr>
              <w:t>Paper:</w:t>
            </w:r>
            <w:r>
              <w:rPr>
                <w:sz w:val="19"/>
              </w:rPr>
              <w:t xml:space="preserve"> all. </w:t>
            </w:r>
            <w:r>
              <w:rPr>
                <w:b/>
                <w:sz w:val="19"/>
              </w:rPr>
              <w:t>Response:</w:t>
            </w:r>
            <w:r>
              <w:rPr>
                <w:sz w:val="19"/>
              </w:rPr>
              <w:t xml:space="preserve"> as written. </w:t>
            </w:r>
          </w:p>
        </w:tc>
      </w:tr>
    </w:tbl>
    <w:p>
      <w:pPr>
        <w:pStyle w:val="Heading3"/>
        <w:bidi w:val="0"/>
        <w:jc w:val="left"/>
        <w:rPr/>
      </w:pPr>
      <w:r>
        <w:rPr/>
        <w:t>Comment 2.4 — Effect of diagnosis imbalance on pseudo-labels and SAP</w:t>
      </w:r>
    </w:p>
    <w:tbl>
      <w:tblPr>
        <w:tblW w:w="5000" w:type="pct"/>
        <w:jc w:val="left"/>
        <w:tblInd w:w="-7" w:type="dxa"/>
        <w:tblLayout w:type="fixed"/>
        <w:tblCellMar>
          <w:top w:w="90" w:type="dxa"/>
          <w:left w:w="90" w:type="dxa"/>
          <w:bottom w:w="90" w:type="dxa"/>
          <w:right w:w="90" w:type="dxa"/>
        </w:tblCellMar>
      </w:tblPr>
      <w:tblGrid>
        <w:gridCol w:w="1791"/>
        <w:gridCol w:w="8747"/>
      </w:tblGrid>
      <w:tr>
        <w:trPr/>
        <w:tc>
          <w:tcPr>
            <w:tcW w:w="1791"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7"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t xml:space="preserve">Parts (i) and (iii) </w:t>
            </w:r>
            <w:r>
              <w:rPr>
                <w:b/>
                <w:color w:val="1F6F43"/>
              </w:rPr>
              <w:t>FINAL</w:t>
            </w:r>
            <w:r>
              <w:rPr/>
              <w:t xml:space="preserve"> · part (ii) </w:t>
            </w:r>
            <w:r>
              <w:rPr>
                <w:b/>
                <w:color w:val="B26B00"/>
              </w:rPr>
              <w:t>NEEDS RESULT</w:t>
            </w:r>
            <w:r>
              <w:rPr/>
              <w:t xml:space="preserve"> (CPU, minutes)</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7"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"Discuss how diagnosis imbalance affects pseudo-label discovery and downstream SAP."</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The two cohorts differ in balance: ADNI is </w:t>
            </w:r>
            <w:r>
              <w:rPr>
                <w:shd w:fill="C6EFCE" w:val="clear"/>
              </w:rPr>
              <w:t>58.2% / 41.8%</w:t>
            </w:r>
            <w:r>
              <w:rPr/>
              <w:t xml:space="preserve"> (477 CN / 342 AD scans), and OAI is </w:t>
            </w:r>
            <w:r>
              <w:rPr>
                <w:shd w:fill="C6EFCE" w:val="clear"/>
              </w:rPr>
              <w:t>68.1% / 31.9%</w:t>
            </w:r>
            <w:r>
              <w:rPr/>
              <w:t xml:space="preserve"> (130 healthy / 61 OA). We analysed the effect of imbalance in three ways.</w:t>
            </w:r>
          </w:p>
          <w:p>
            <w:pPr>
              <w:pStyle w:val="TableContents"/>
              <w:bidi w:val="0"/>
              <w:spacing w:before="0" w:after="283"/>
              <w:jc w:val="left"/>
              <w:rPr/>
            </w:pPr>
            <w:r>
              <w:rPr>
                <w:b/>
              </w:rPr>
              <w:t>(i) Discovery.</w:t>
            </w:r>
            <w:r>
              <w:rPr/>
              <w:t xml:space="preserve"> On OAI, the constrained prior used in our method (fixed equal mixture weights, bounded variances) gives substantially higher agreement than a standard unconstrained EM fit on the same codes. With the unconstrained fit, agreement drops to purity </w:t>
            </w:r>
            <w:r>
              <w:rPr>
                <w:shd w:fill="C6EFCE" w:val="clear"/>
              </w:rPr>
              <w:t>68.06%</w:t>
            </w:r>
            <w:r>
              <w:rPr/>
              <w:t xml:space="preserve"> (equal to the class prior), κ = </w:t>
            </w:r>
            <w:r>
              <w:rPr>
                <w:shd w:fill="C6EFCE" w:val="clear"/>
              </w:rPr>
              <w:t>0.310</w:t>
            </w:r>
            <w:r>
              <w:rPr/>
              <w:t xml:space="preserve"> and ARI = </w:t>
            </w:r>
            <w:r>
              <w:rPr>
                <w:shd w:fill="C6EFCE" w:val="clear"/>
              </w:rPr>
              <w:t>0.085</w:t>
            </w:r>
            <w:r>
              <w:rPr/>
              <w:t xml:space="preserve">, compared with </w:t>
            </w:r>
            <w:r>
              <w:rPr>
                <w:shd w:fill="C6EFCE" w:val="clear"/>
              </w:rPr>
              <w:t>75.39%</w:t>
            </w:r>
            <w:r>
              <w:rPr/>
              <w:t xml:space="preserve">, </w:t>
            </w:r>
            <w:r>
              <w:rPr>
                <w:shd w:fill="C6EFCE" w:val="clear"/>
              </w:rPr>
              <w:t>0.464</w:t>
            </w:r>
            <w:r>
              <w:rPr/>
              <w:t xml:space="preserve"> and </w:t>
            </w:r>
            <w:r>
              <w:rPr>
                <w:shd w:fill="C6EFCE" w:val="clear"/>
              </w:rPr>
              <w:t>0.250</w:t>
            </w:r>
            <w:r>
              <w:rPr/>
              <w:t xml:space="preserve"> with the constrained prior. The cost of equal weights is a bias toward balanced cluster sizes: on OAI, </w:t>
            </w:r>
            <w:r>
              <w:rPr>
                <w:shd w:fill="C6EFCE" w:val="clear"/>
              </w:rPr>
              <w:t>74</w:t>
            </w:r>
            <w:r>
              <w:rPr/>
              <w:t xml:space="preserve"> shapes are assigned to the disease cluster although only 61 have OA, so </w:t>
            </w:r>
            <w:r>
              <w:rPr>
                <w:shd w:fill="C6EFCE" w:val="clear"/>
              </w:rPr>
              <w:t>30</w:t>
            </w:r>
            <w:r>
              <w:rPr/>
              <w:t xml:space="preserve"> healthy shapes carry a disease pseudo-label. </w:t>
            </w:r>
            <w:r>
              <w:rPr>
                <w:shd w:fill="FFFF00" w:val="clear"/>
              </w:rPr>
              <w:t>[FILL — optional: an EM fit with fixed equal weights on the same codes would isolate the role of the weights: purity, κ, ARI.]</w:t>
            </w:r>
          </w:p>
          <w:p>
            <w:pPr>
              <w:pStyle w:val="TableContents"/>
              <w:bidi w:val="0"/>
              <w:spacing w:before="0" w:after="283"/>
              <w:jc w:val="left"/>
              <w:rPr/>
            </w:pPr>
            <w:r>
              <w:rPr>
                <w:b/>
              </w:rPr>
              <w:t>(ii) Imbalance versus anatomy.</w:t>
            </w:r>
            <w:r>
              <w:rPr/>
              <w:t xml:space="preserve"> To separate imbalance from anatomy, we subsampled ADNI to OAI's 68:32 ratio (</w:t>
            </w:r>
            <w:r>
              <w:rPr>
                <w:shd w:fill="FFFF00" w:val="clear"/>
              </w:rPr>
              <w:t>[FILL: 100]</w:t>
            </w:r>
            <w:r>
              <w:rPr/>
              <w:t xml:space="preserve"> random draws) and recomputed agreement: purity </w:t>
            </w:r>
            <w:r>
              <w:rPr>
                <w:shd w:fill="FFFF00" w:val="clear"/>
              </w:rPr>
              <w:t>[FILL]</w:t>
            </w:r>
            <w:r>
              <w:rPr/>
              <w:t xml:space="preserve">, balanced accuracy </w:t>
            </w:r>
            <w:r>
              <w:rPr>
                <w:shd w:fill="FFFF00" w:val="clear"/>
              </w:rPr>
              <w:t>[FILL]</w:t>
            </w:r>
            <w:r>
              <w:rPr/>
              <w:t xml:space="preserve">, κ </w:t>
            </w:r>
            <w:r>
              <w:rPr>
                <w:shd w:fill="FFFF00" w:val="clear"/>
              </w:rPr>
              <w:t>[FILL]</w:t>
            </w:r>
            <w:r>
              <w:rPr/>
              <w:t xml:space="preserve">. </w:t>
            </w:r>
            <w:r>
              <w:rPr>
                <w:shd w:fill="FFFF00" w:val="clear"/>
              </w:rPr>
              <w:t>[FILL — expected wording if κ stays near 0.6: "Agreement on ADNI changes little at OAI's ratio, indicating that the weaker OAI clustering reflects a subtler disease effect on femoral shape rather than the class imbalance itself."]</w:t>
            </w:r>
          </w:p>
          <w:p>
            <w:pPr>
              <w:pStyle w:val="TableContents"/>
              <w:bidi w:val="0"/>
              <w:spacing w:before="0" w:after="283"/>
              <w:jc w:val="left"/>
              <w:rPr/>
            </w:pPr>
            <w:r>
              <w:rPr>
                <w:b/>
              </w:rPr>
              <w:t>(iii) Downstream SAP.</w:t>
            </w:r>
            <w:r>
              <w:rPr/>
              <w:t xml:space="preserve"> Imbalance makes the pseudo-label noise asymmetric. On OAI, the disease cluster has precision </w:t>
            </w:r>
            <w:r>
              <w:rPr>
                <w:shd w:fill="C6EFCE" w:val="clear"/>
              </w:rPr>
              <w:t>59.5%</w:t>
            </w:r>
            <w:r>
              <w:rPr/>
              <w:t xml:space="preserve"> (44/74) and the healthy cluster </w:t>
            </w:r>
            <w:r>
              <w:rPr>
                <w:shd w:fill="C6EFCE" w:val="clear"/>
              </w:rPr>
              <w:t>85.5%</w:t>
            </w:r>
            <w:r>
              <w:rPr/>
              <w:t xml:space="preserve"> (100/117); on ADNI the two precisions are </w:t>
            </w:r>
            <w:r>
              <w:rPr>
                <w:shd w:fill="C6EFCE" w:val="clear"/>
              </w:rPr>
              <w:t>78.9%</w:t>
            </w:r>
            <w:r>
              <w:rPr/>
              <w:t xml:space="preserve"> (235/298) and </w:t>
            </w:r>
            <w:r>
              <w:rPr>
                <w:shd w:fill="C6EFCE" w:val="clear"/>
              </w:rPr>
              <w:t>82.9%</w:t>
            </w:r>
            <w:r>
              <w:rPr/>
              <w:t xml:space="preserve"> (330/398). The designated disease coordinate on OAI is therefore trained against a disease target that is correct only about 60% of the time. Given the dependence of SAP on pseudo-label quality shown in Figure 5, this accounts for much of the smaller SAP gain on OAI.</w:t>
            </w:r>
          </w:p>
        </w:tc>
      </w:tr>
      <w:tr>
        <w:trPr/>
        <w:tc>
          <w:tcPr>
            <w:tcW w:w="1791"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New paragraph "Effect of class imbalance" in Section V-A (or V-C). The subsampling result is added to the supplementary material.</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br/>
              <w:t>• Part (ii) is a CPU script on the existing stage-1 codes: subsample CN to 68:32, refit, repeat, and report mean ± SD.</w:t>
              <w:br/>
              <w:t>• The in-training prior also shapes the codes during stage 1, so (i) compares two procedures, not just two weight settings. Do not attribute the gain to the fixed weights unless the optional fixed-weight EM fit (a short custom EM on CPU) confirms it.</w:t>
              <w:br/>
              <w:t>• Refresh the green values if stage-1 is retrained.</w:t>
              <w:br/>
              <w:t xml:space="preserve">• </w:t>
            </w:r>
            <w:r>
              <w:rPr>
                <w:b/>
                <w:sz w:val="19"/>
              </w:rPr>
              <w:t>Paper:</w:t>
            </w:r>
            <w:r>
              <w:rPr>
                <w:sz w:val="19"/>
              </w:rPr>
              <w:t xml:space="preserve"> paragraph plus supplementary table. </w:t>
            </w:r>
            <w:r>
              <w:rPr>
                <w:b/>
                <w:sz w:val="19"/>
              </w:rPr>
              <w:t>Response:</w:t>
            </w:r>
            <w:r>
              <w:rPr>
                <w:sz w:val="19"/>
              </w:rPr>
              <w:t xml:space="preserve"> as written. </w:t>
            </w:r>
          </w:p>
        </w:tc>
      </w:tr>
    </w:tbl>
    <w:p>
      <w:pPr>
        <w:pStyle w:val="Heading3"/>
        <w:bidi w:val="0"/>
        <w:jc w:val="left"/>
        <w:rPr/>
      </w:pPr>
      <w:r>
        <w:rPr/>
        <w:t>Comment 2.5 — Expanded limitations</w:t>
      </w:r>
    </w:p>
    <w:tbl>
      <w:tblPr>
        <w:tblW w:w="5000" w:type="pct"/>
        <w:jc w:val="left"/>
        <w:tblInd w:w="-7" w:type="dxa"/>
        <w:tblLayout w:type="fixed"/>
        <w:tblCellMar>
          <w:top w:w="90" w:type="dxa"/>
          <w:left w:w="90" w:type="dxa"/>
          <w:bottom w:w="90" w:type="dxa"/>
          <w:right w:w="90" w:type="dxa"/>
        </w:tblCellMar>
      </w:tblPr>
      <w:tblGrid>
        <w:gridCol w:w="1790"/>
        <w:gridCol w:w="8748"/>
      </w:tblGrid>
      <w:tr>
        <w:trPr/>
        <w:tc>
          <w:tcPr>
            <w:tcW w:w="1790"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8"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b/>
                <w:color w:val="1F6F43"/>
              </w:rPr>
              <w:t>FINAL</w:t>
            </w:r>
            <w:r>
              <w:rPr/>
              <w:t xml:space="preserve"> (a few numbers to refresh)</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8"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"Please expand limitations around pseudo-label noise, OAI's weaker clustering, dataset size, and external clinical validation."</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We agree, and we have rewritten the limitations as a dedicated subsection that covers each of these points and two further ones: the use of labels for model selection, and binary discovery.</w:t>
            </w:r>
          </w:p>
        </w:tc>
      </w:tr>
      <w:tr>
        <w:trPr/>
        <w:tc>
          <w:tcPr>
            <w:tcW w:w="179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b/>
              </w:rPr>
            </w:pPr>
            <w:r>
              <w:rPr>
                <w:b/>
              </w:rPr>
              <w:t>New subsection VI-A "Limitations" (proposed text):</w:t>
            </w:r>
          </w:p>
          <w:p>
            <w:pPr>
              <w:pStyle w:val="TableContents"/>
              <w:bidi w:val="0"/>
              <w:spacing w:before="0" w:after="283"/>
              <w:jc w:val="left"/>
              <w:rPr>
                <w:i/>
              </w:rPr>
            </w:pPr>
            <w:r>
              <w:rPr>
                <w:i/>
              </w:rPr>
              <w:t xml:space="preserve">"First, stage-2 disentanglement inherits the quality of the stage-1 pseudo-labels. Disease SAP decreases steadily as pseudo-label noise increases (Fig. 5), so the method is most effective when the shape code carries a strong disease signal. Second, OAI pseudo-labels are markedly noisier than those for ADNI (balanced accuracy 74.5% vs. 80.8%; disease-cluster precision 59.5%), which limits the gains on that cohort. Improving discovery for anatomies with subtler disease effects remains open. Third, the cohorts are modest (247 and 191 subjects), the ADNI test partition contains only 24 subjects, and several between-method differences fall within seed variability (Table 3). The results should be confirmed on larger cohorts. Fourth, discovery assumes two groups. The framework accepts more components (Section </w:t>
            </w:r>
            <w:r>
              <w:rPr>
                <w:i/>
                <w:shd w:fill="FFFF00" w:val="clear"/>
              </w:rPr>
              <w:t>[FILL]</w:t>
            </w:r>
            <w:r>
              <w:rPr>
                <w:i/>
              </w:rPr>
              <w:t xml:space="preserve">), but we did not evaluate intermediate stages such as mild cognitive impairment. Fifth, hyperparameters were selected using </w:t>
            </w:r>
            <w:r>
              <w:rPr>
                <w:i/>
                <w:shd w:fill="FFFF00" w:val="clear"/>
              </w:rPr>
              <w:t>[FILL: diagnosis labels on a small held-out subset — the only point at which ground-truth diagnosis enters the pipeline / pseudo-labels only]</w:t>
            </w:r>
            <w:r>
              <w:rPr>
                <w:i/>
              </w:rPr>
              <w:t>. Finally, validation is cross-sectional and internal to each cohort. We did not test on an independent external cohort such as AIBL or OASIS-3, and we assessed the clinical relevance of the learned factors through hippocampal volume rather than against cognitive scores or longitudinal progression. We plan to address these in future work."</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t xml:space="preserve"> · If OAI moves to the supplement, change the second point accordingly. Remove the "Our results show that the proposed framework is very effective" opening of Section VI (overclaiming; see Comment 2.7). </w:t>
            </w:r>
            <w:r>
              <w:rPr>
                <w:b/>
                <w:sz w:val="19"/>
              </w:rPr>
              <w:t>Paper:</w:t>
            </w:r>
            <w:r>
              <w:rPr>
                <w:sz w:val="19"/>
              </w:rPr>
              <w:t xml:space="preserve"> full paragraph. </w:t>
            </w:r>
          </w:p>
        </w:tc>
      </w:tr>
    </w:tbl>
    <w:p>
      <w:pPr>
        <w:pStyle w:val="Heading3"/>
        <w:bidi w:val="0"/>
        <w:jc w:val="left"/>
        <w:rPr/>
      </w:pPr>
      <w:r>
        <w:rPr/>
        <w:t>Comment 2.6 — Quantitative clinical validation of latent traversals</w:t>
      </w:r>
    </w:p>
    <w:tbl>
      <w:tblPr>
        <w:tblW w:w="5000" w:type="pct"/>
        <w:jc w:val="left"/>
        <w:tblInd w:w="-7" w:type="dxa"/>
        <w:tblLayout w:type="fixed"/>
        <w:tblCellMar>
          <w:top w:w="90" w:type="dxa"/>
          <w:left w:w="90" w:type="dxa"/>
          <w:bottom w:w="90" w:type="dxa"/>
          <w:right w:w="90" w:type="dxa"/>
        </w:tblCellMar>
      </w:tblPr>
      <w:tblGrid>
        <w:gridCol w:w="1790"/>
        <w:gridCol w:w="8748"/>
      </w:tblGrid>
      <w:tr>
        <w:trPr/>
        <w:tc>
          <w:tcPr>
            <w:tcW w:w="1790"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8"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b/>
                <w:color w:val="B26B00"/>
              </w:rPr>
              <w:t>NEEDS RESULT</w:t>
            </w:r>
            <w:r>
              <w:rPr/>
              <w:t xml:space="preserve"> (CPU)</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8"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"Add quantitative clinical validation of latent traversals if feasible."</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 added a quantitative validation of the traversals against cohort statistics, for both factors.</w:t>
            </w:r>
          </w:p>
          <w:p>
            <w:pPr>
              <w:pStyle w:val="TableContents"/>
              <w:bidi w:val="0"/>
              <w:spacing w:before="0" w:after="283"/>
              <w:jc w:val="left"/>
              <w:rPr/>
            </w:pPr>
            <w:r>
              <w:rPr>
                <w:b/>
              </w:rPr>
              <w:t>Disease factor — volume.</w:t>
            </w:r>
            <w:r>
              <w:rPr/>
              <w:t xml:space="preserve"> Traversing the disease coordinate at matched age reduces generated hippocampal volume by </w:t>
            </w:r>
            <w:r>
              <w:rPr>
                <w:shd w:fill="FFFF00" w:val="clear"/>
              </w:rPr>
              <w:t>[FILL]</w:t>
            </w:r>
            <w:r>
              <w:rPr/>
              <w:t>%, compared with the measured cohort difference of 27.6% (26.3% at the subject level; details in Comment 1.6).</w:t>
            </w:r>
          </w:p>
          <w:p>
            <w:pPr>
              <w:pStyle w:val="TableContents"/>
              <w:bidi w:val="0"/>
              <w:spacing w:before="0" w:after="283"/>
              <w:jc w:val="left"/>
              <w:rPr/>
            </w:pPr>
            <w:r>
              <w:rPr>
                <w:b/>
              </w:rPr>
              <w:t>Aging factor — atrophy rate.</w:t>
            </w:r>
            <w:r>
              <w:rPr/>
              <w:t xml:space="preserve"> In the cohort, volume declines with age within both groups: CN </w:t>
            </w:r>
            <w:r>
              <w:rPr>
                <w:shd w:fill="C6EFCE" w:val="clear"/>
              </w:rPr>
              <w:t>−393 mm³</w:t>
            </w:r>
            <w:r>
              <w:rPr/>
              <w:t xml:space="preserve"> and AD </w:t>
            </w:r>
            <w:r>
              <w:rPr>
                <w:shd w:fill="C6EFCE" w:val="clear"/>
              </w:rPr>
              <w:t>−469 mm³</w:t>
            </w:r>
            <w:r>
              <w:rPr/>
              <w:t xml:space="preserve"> per unit of normalized age (r = </w:t>
            </w:r>
            <w:r>
              <w:rPr>
                <w:shd w:fill="C6EFCE" w:val="clear"/>
              </w:rPr>
              <w:t>−0.175</w:t>
            </w:r>
            <w:r>
              <w:rPr/>
              <w:t xml:space="preserve">, p = </w:t>
            </w:r>
            <w:r>
              <w:rPr>
                <w:shd w:fill="C6EFCE" w:val="clear"/>
              </w:rPr>
              <w:t>1.2×10⁻⁴</w:t>
            </w:r>
            <w:r>
              <w:rPr/>
              <w:t xml:space="preserve">; r = </w:t>
            </w:r>
            <w:r>
              <w:rPr>
                <w:shd w:fill="C6EFCE" w:val="clear"/>
              </w:rPr>
              <w:t>−0.273</w:t>
            </w:r>
            <w:r>
              <w:rPr/>
              <w:t xml:space="preserve">, p = </w:t>
            </w:r>
            <w:r>
              <w:rPr>
                <w:shd w:fill="C6EFCE" w:val="clear"/>
              </w:rPr>
              <w:t>3.0×10⁻⁷</w:t>
            </w:r>
            <w:r>
              <w:rPr/>
              <w:t xml:space="preserve">), corresponding to about </w:t>
            </w:r>
            <w:r>
              <w:rPr>
                <w:shd w:fill="C6EFCE" w:val="clear"/>
              </w:rPr>
              <w:t>0.51%</w:t>
            </w:r>
            <w:r>
              <w:rPr/>
              <w:t xml:space="preserve"> of mean volume per year for CN and </w:t>
            </w:r>
            <w:r>
              <w:rPr>
                <w:shd w:fill="C6EFCE" w:val="clear"/>
              </w:rPr>
              <w:t>0.85%</w:t>
            </w:r>
            <w:r>
              <w:rPr/>
              <w:t xml:space="preserve"> for AD. Traversing the age coordinate gives a generated slope of </w:t>
            </w:r>
            <w:r>
              <w:rPr>
                <w:shd w:fill="FFFF00" w:val="clear"/>
              </w:rPr>
              <w:t>[FILL]</w:t>
            </w:r>
            <w:r>
              <w:rPr/>
              <w:t xml:space="preserve"> for CN and </w:t>
            </w:r>
            <w:r>
              <w:rPr>
                <w:shd w:fill="FFFF00" w:val="clear"/>
              </w:rPr>
              <w:t>[FILL]</w:t>
            </w:r>
            <w:r>
              <w:rPr/>
              <w:t xml:space="preserve"> for AD.</w:t>
            </w:r>
          </w:p>
          <w:p>
            <w:pPr>
              <w:pStyle w:val="TableContents"/>
              <w:bidi w:val="0"/>
              <w:spacing w:before="0" w:after="283"/>
              <w:jc w:val="left"/>
              <w:rPr/>
            </w:pPr>
            <w:r>
              <w:rPr>
                <w:b/>
              </w:rPr>
              <w:t>Factor fidelity with independent predictors.</w:t>
            </w:r>
            <w:r>
              <w:rPr/>
              <w:t xml:space="preserve"> A classifier and an age regressor trained on real stage-1 codes, and never exposed to generated data, were applied to the generated codes. </w:t>
            </w:r>
            <w:r>
              <w:rPr>
                <w:shd w:fill="FFFF00" w:val="clear"/>
              </w:rPr>
              <w:t>[FILL]</w:t>
            </w:r>
            <w:r>
              <w:rPr/>
              <w:t xml:space="preserve">% of shapes generated at the AD end of the disease coordinate are classified as AD, versus </w:t>
            </w:r>
            <w:r>
              <w:rPr>
                <w:shd w:fill="FFFF00" w:val="clear"/>
              </w:rPr>
              <w:t>[FILL]</w:t>
            </w:r>
            <w:r>
              <w:rPr/>
              <w:t xml:space="preserve">% at the CN end. The predicted age of generated shapes correlates with the traversal age at r = </w:t>
            </w:r>
            <w:r>
              <w:rPr>
                <w:shd w:fill="FFFF00" w:val="clear"/>
              </w:rPr>
              <w:t>[FILL]</w:t>
            </w:r>
            <w:r>
              <w:rPr/>
              <w:t xml:space="preserve">. Traversing age at a fixed disease coordinate changes the predicted AD probability by only </w:t>
            </w:r>
            <w:r>
              <w:rPr>
                <w:shd w:fill="FFFF00" w:val="clear"/>
              </w:rPr>
              <w:t>[FILL]</w:t>
            </w:r>
            <w:r>
              <w:rPr/>
              <w:t>, indicating limited leakage between the factors.</w:t>
            </w:r>
          </w:p>
          <w:p>
            <w:pPr>
              <w:pStyle w:val="TableContents"/>
              <w:bidi w:val="0"/>
              <w:spacing w:before="0" w:after="283"/>
              <w:jc w:val="left"/>
              <w:rPr/>
            </w:pPr>
            <w:r>
              <w:rPr/>
              <w:t>A regional analysis, such as subfield-specific atrophy, would require point correspondence between shapes, which implicit representations do not provide directly. We note this as future work.</w:t>
            </w:r>
          </w:p>
        </w:tc>
      </w:tr>
      <w:tr>
        <w:trPr/>
        <w:tc>
          <w:tcPr>
            <w:tcW w:w="179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New paragraph and a small table in Section V-D ("Quantitative validation of traversals").</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br/>
              <w:t>• The %/year values assume normalized age = (age − 55)/36. The normalized ages' mean (0.600) and SD (0.164) reproduce Table 1's 76.6 ± 5.9 exactly under that range. CN: −10.9 mm³/year; AD: −13.0 mm³/year. Confirm against the preprocessing script.</w:t>
              <w:br/>
              <w:t>• These slopes and correlations are scan-level (repeated scans). Use a subject-level or mixed-effects estimate in the paper.</w:t>
              <w:br/>
              <w:t>• All three analyses run on CPU: stage-2 decoder → stage-1 codes → (a) marching cubes for volume, (b) classifier and regressor trained on real codes.</w:t>
              <w:br/>
              <w:t xml:space="preserve">• </w:t>
            </w:r>
            <w:r>
              <w:rPr>
                <w:b/>
                <w:sz w:val="19"/>
              </w:rPr>
              <w:t>Paper:</w:t>
            </w:r>
            <w:r>
              <w:rPr>
                <w:sz w:val="19"/>
              </w:rPr>
              <w:t xml:space="preserve"> V-D paragraph and table. </w:t>
            </w:r>
            <w:r>
              <w:rPr>
                <w:b/>
                <w:sz w:val="19"/>
              </w:rPr>
              <w:t>Response:</w:t>
            </w:r>
            <w:r>
              <w:rPr>
                <w:sz w:val="19"/>
              </w:rPr>
              <w:t xml:space="preserve"> as written. </w:t>
            </w:r>
          </w:p>
        </w:tc>
      </w:tr>
    </w:tbl>
    <w:p>
      <w:pPr>
        <w:pStyle w:val="Heading3"/>
        <w:bidi w:val="0"/>
        <w:jc w:val="left"/>
        <w:rPr/>
      </w:pPr>
      <w:r>
        <w:rPr/>
        <w:t>Comment 2.7 — Template metadata and minor wording</w:t>
      </w:r>
    </w:p>
    <w:tbl>
      <w:tblPr>
        <w:tblW w:w="5000" w:type="pct"/>
        <w:jc w:val="left"/>
        <w:tblInd w:w="-7" w:type="dxa"/>
        <w:tblLayout w:type="fixed"/>
        <w:tblCellMar>
          <w:top w:w="90" w:type="dxa"/>
          <w:left w:w="90" w:type="dxa"/>
          <w:bottom w:w="90" w:type="dxa"/>
          <w:right w:w="90" w:type="dxa"/>
        </w:tblCellMar>
      </w:tblPr>
      <w:tblGrid>
        <w:gridCol w:w="1790"/>
        <w:gridCol w:w="8748"/>
      </w:tblGrid>
      <w:tr>
        <w:trPr/>
        <w:tc>
          <w:tcPr>
            <w:tcW w:w="1790"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8"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bidi w:val="0"/>
              <w:jc w:val="left"/>
              <w:rPr>
                <w:b/>
                <w:color w:val="1F6F43"/>
              </w:rPr>
            </w:pPr>
            <w:r>
              <w:rPr>
                <w:b/>
                <w:color w:val="1F6F43"/>
              </w:rPr>
              <w:t>FINAL</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8"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"Fix template metadata and minor wording issues before publication."</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We thank the reviewer and have corrected the template metadata and proofread the full manuscript.</w:t>
            </w:r>
          </w:p>
        </w:tc>
      </w:tr>
      <w:tr>
        <w:trPr/>
        <w:tc>
          <w:tcPr>
            <w:tcW w:w="179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 </w:t>
            </w:r>
            <w:r>
              <w:rPr/>
              <w:t>Template placeholders fixed: running footer ("VOLUME 11, 2023"), publication and revision dates, and the placeholder DOI.</w:t>
              <w:br/>
              <w:t>• "Code and checkpoints are available at GitHub" replaced with the repository URL.</w:t>
              <w:br/>
              <w:t>• Biography: duplicated name "DANA COBZAS DANA COBZAS" and "Previously, He worked" corrected.</w:t>
              <w:br/>
              <w:t>• Figure 5 caption: "dis- entanglement" fixed. Table 2 caption: the broken ΔV symbol fixed.</w:t>
              <w:br/>
              <w:t>• "Fig. 6 and Fig. 7 illustrates" → "illustrate"; "a smaller but a developing line" → "a smaller but developing line"; "Th = .05" → "τ = 0.05".</w:t>
              <w:br/>
              <w:t>• Overstatements removed, e.g. "the proposed framework is very effective" (Section VI).</w:t>
              <w:br/>
              <w:t>• An orphaned "III. METHOD" heading at the foot of page 3 removed by layout.</w:t>
              <w:br/>
              <w:t xml:space="preserve">• Table 4: the "N/A" entries for HLLE+ICA explained in the caption </w:t>
            </w:r>
            <w:r>
              <w:rPr>
                <w:shd w:fill="FFFF00" w:val="clear"/>
              </w:rPr>
              <w:t>[VERIFY: HLLE has no inverse mapping back to shape codes]</w:t>
            </w:r>
            <w:r>
              <w:rPr/>
              <w:t>.</w:t>
              <w:br/>
              <w:t xml:space="preserve">• Section IV-A states an isotropic 1 mm resolution while Table 1 lists ~1.25 × 1.25 × 1.2 mm³; clarified </w:t>
            </w:r>
            <w:r>
              <w:rPr>
                <w:shd w:fill="FFFF00" w:val="clear"/>
              </w:rPr>
              <w:t>[VERIFY: masks resampled to 1 mm]</w:t>
            </w:r>
            <w:r>
              <w:rPr/>
              <w:t>.</w:t>
              <w:br/>
              <w:t>• Section IV-B: Optuna trial counts and lengths corrected (Comment 1.3).</w:t>
              <w:br/>
              <w:t xml:space="preserve">• </w:t>
            </w:r>
            <w:r>
              <w:rPr>
                <w:shd w:fill="FFFF00" w:val="clear"/>
              </w:rPr>
              <w:t>[FILL: any further items from the final proofread]</w:t>
            </w:r>
          </w:p>
        </w:tc>
      </w:tr>
    </w:tbl>
    <w:p>
      <w:pPr>
        <w:pStyle w:val="Heading2"/>
        <w:bidi w:val="0"/>
        <w:jc w:val="left"/>
        <w:rPr/>
      </w:pPr>
      <w:r>
        <w:rPr/>
        <w:t>Reviewer 3</w:t>
      </w:r>
    </w:p>
    <w:p>
      <w:pPr>
        <w:pStyle w:val="Heading3"/>
        <w:bidi w:val="0"/>
        <w:jc w:val="left"/>
        <w:rPr/>
      </w:pPr>
      <w:r>
        <w:rPr/>
        <w:t>General assessment</w:t>
      </w:r>
    </w:p>
    <w:tbl>
      <w:tblPr>
        <w:tblW w:w="5000" w:type="pct"/>
        <w:jc w:val="left"/>
        <w:tblInd w:w="-7" w:type="dxa"/>
        <w:tblLayout w:type="fixed"/>
        <w:tblCellMar>
          <w:top w:w="90" w:type="dxa"/>
          <w:left w:w="90" w:type="dxa"/>
          <w:bottom w:w="90" w:type="dxa"/>
          <w:right w:w="90" w:type="dxa"/>
        </w:tblCellMar>
      </w:tblPr>
      <w:tblGrid>
        <w:gridCol w:w="1790"/>
        <w:gridCol w:w="8748"/>
      </w:tblGrid>
      <w:tr>
        <w:trPr/>
        <w:tc>
          <w:tcPr>
            <w:tcW w:w="1790"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8"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bidi w:val="0"/>
              <w:jc w:val="left"/>
              <w:rPr>
                <w:b/>
                <w:color w:val="1F6F43"/>
              </w:rPr>
            </w:pPr>
            <w:r>
              <w:rPr>
                <w:b/>
                <w:color w:val="1F6F43"/>
              </w:rPr>
              <w:t>FINAL</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comment</w:t>
            </w:r>
          </w:p>
        </w:tc>
        <w:tc>
          <w:tcPr>
            <w:tcW w:w="8748"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"This paper addresses the core pain points in 3D medical shape analysis ... After minor revision, it can meet the standards for journal publication."</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We thank the reviewer for the positive evaluation and for the three suggestions, which we address below.</w:t>
            </w:r>
          </w:p>
        </w:tc>
      </w:tr>
      <w:tr>
        <w:trPr/>
        <w:tc>
          <w:tcPr>
            <w:tcW w:w="179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None required.</w:t>
            </w:r>
          </w:p>
        </w:tc>
      </w:tr>
    </w:tbl>
    <w:p>
      <w:pPr>
        <w:pStyle w:val="Heading3"/>
        <w:bidi w:val="0"/>
        <w:jc w:val="left"/>
        <w:rPr/>
      </w:pPr>
      <w:r>
        <w:rPr/>
        <w:t>Comment 3.1 — Multi-component clustering and more flexible algorithms</w:t>
      </w:r>
    </w:p>
    <w:tbl>
      <w:tblPr>
        <w:tblW w:w="5000" w:type="pct"/>
        <w:jc w:val="left"/>
        <w:tblInd w:w="-7" w:type="dxa"/>
        <w:tblLayout w:type="fixed"/>
        <w:tblCellMar>
          <w:top w:w="90" w:type="dxa"/>
          <w:left w:w="90" w:type="dxa"/>
          <w:bottom w:w="90" w:type="dxa"/>
          <w:right w:w="90" w:type="dxa"/>
        </w:tblCellMar>
      </w:tblPr>
      <w:tblGrid>
        <w:gridCol w:w="1790"/>
        <w:gridCol w:w="8748"/>
      </w:tblGrid>
      <w:tr>
        <w:trPr/>
        <w:tc>
          <w:tcPr>
            <w:tcW w:w="1790"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8"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t xml:space="preserve">K-sweep </w:t>
            </w:r>
            <w:r>
              <w:rPr>
                <w:b/>
                <w:color w:val="1F6F43"/>
              </w:rPr>
              <w:t>FINAL</w:t>
            </w:r>
            <w:r>
              <w:rPr/>
              <w:t xml:space="preserve"> · alternative algorithms </w:t>
            </w:r>
            <w:r>
              <w:rPr>
                <w:b/>
                <w:color w:val="B26B00"/>
              </w:rPr>
              <w:t>NEEDS RESULT</w:t>
            </w:r>
            <w:r>
              <w:rPr/>
              <w:t xml:space="preserve"> (CPU) · MCI </w:t>
            </w:r>
            <w:r>
              <w:rPr>
                <w:b/>
                <w:color w:val="B00020"/>
              </w:rPr>
              <w:t>DECISION</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8"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"The pseudo-label generation in the first stage currently relies on a two-component Gaussian mixture clustering method, which only supports binary classification of health/illness in disease scenarios and cannot adapt to complex clinical scenarios with multiple disease stages (such as three classifications of normal cognition/mild cognitive impairment/alzheimer's disease) or multiple coexisting diseases. It is recommended to expand support for multi-component clustering schemes or introduce more flexible unsupervised clustering algorithms to enhance the method's adaptability to complex clinical scenarios."</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 thank the reviewer. The framework is not restricted to two components. K is a parameter of both the stage-1 mixture prior and the assignment step, and the SNNL objective in stage 2 is defined through label equality, so it accepts any number of classes. We used K = 2 because both cohorts are binary by design (MCI was excluded from the ADNI cohort), and we have clarified this in Section III-B. To test the choice of K, we refitted mixtures with K = 2–4 on the same stage-1 codes. Because purity increases mechanically with the number of clusters, we use ARI as the primary criterion:</w:t>
            </w:r>
          </w:p>
          <w:tbl>
            <w:tblPr>
              <w:tblW w:w="6437" w:type="dxa"/>
              <w:jc w:val="left"/>
              <w:tblInd w:w="-7" w:type="dxa"/>
              <w:tblLayout w:type="fixed"/>
              <w:tblCellMar>
                <w:top w:w="60" w:type="dxa"/>
                <w:left w:w="60" w:type="dxa"/>
                <w:bottom w:w="60" w:type="dxa"/>
                <w:right w:w="60" w:type="dxa"/>
              </w:tblCellMar>
            </w:tblPr>
            <w:tblGrid>
              <w:gridCol w:w="2600"/>
              <w:gridCol w:w="1986"/>
              <w:gridCol w:w="1851"/>
            </w:tblGrid>
            <w:tr>
              <w:trPr/>
              <w:tc>
                <w:tcPr>
                  <w:tcW w:w="260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K</w:t>
                  </w:r>
                </w:p>
              </w:tc>
              <w:tc>
                <w:tcPr>
                  <w:tcW w:w="198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ADNI purity / ARI</w:t>
                  </w:r>
                </w:p>
              </w:tc>
              <w:tc>
                <w:tcPr>
                  <w:tcW w:w="185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purity / ARI</w:t>
                  </w:r>
                </w:p>
              </w:tc>
            </w:tr>
            <w:tr>
              <w:trPr/>
              <w:tc>
                <w:tcPr>
                  <w:tcW w:w="26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1986"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81.90% / 0.406</w:t>
                  </w:r>
                </w:p>
              </w:tc>
              <w:tc>
                <w:tcPr>
                  <w:tcW w:w="1851"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68.06% / 0.085</w:t>
                  </w:r>
                </w:p>
              </w:tc>
            </w:tr>
            <w:tr>
              <w:trPr/>
              <w:tc>
                <w:tcPr>
                  <w:tcW w:w="26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1986"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79.89% / 0.230</w:t>
                  </w:r>
                </w:p>
              </w:tc>
              <w:tc>
                <w:tcPr>
                  <w:tcW w:w="1851"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79.06% / 0.144</w:t>
                  </w:r>
                </w:p>
              </w:tc>
            </w:tr>
            <w:tr>
              <w:trPr/>
              <w:tc>
                <w:tcPr>
                  <w:tcW w:w="26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1986"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78.45% / 0.161</w:t>
                  </w:r>
                </w:p>
              </w:tc>
              <w:tc>
                <w:tcPr>
                  <w:tcW w:w="1851" w:type="dxa"/>
                  <w:tcBorders>
                    <w:left w:val="single" w:sz="2" w:space="0" w:color="808080"/>
                    <w:bottom w:val="single" w:sz="2" w:space="0" w:color="808080"/>
                    <w:right w:val="single" w:sz="6" w:space="0" w:color="808080"/>
                  </w:tcBorders>
                  <w:vAlign w:val="center"/>
                </w:tcPr>
                <w:p>
                  <w:pPr>
                    <w:pStyle w:val="TableContents"/>
                    <w:bidi w:val="0"/>
                    <w:jc w:val="right"/>
                    <w:rPr>
                      <w:shd w:fill="C6EFCE" w:val="clear"/>
                    </w:rPr>
                  </w:pPr>
                  <w:r>
                    <w:rPr>
                      <w:shd w:fill="C6EFCE" w:val="clear"/>
                    </w:rPr>
                    <w:t>76.96% / 0.145</w:t>
                  </w:r>
                </w:p>
              </w:tc>
            </w:tr>
            <w:tr>
              <w:trPr/>
              <w:tc>
                <w:tcPr>
                  <w:tcW w:w="260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2 (constrained prior, ours)</w:t>
                  </w:r>
                </w:p>
              </w:tc>
              <w:tc>
                <w:tcPr>
                  <w:tcW w:w="1986" w:type="dxa"/>
                  <w:tcBorders>
                    <w:left w:val="single" w:sz="2" w:space="0" w:color="808080"/>
                    <w:bottom w:val="single" w:sz="6" w:space="0" w:color="808080"/>
                    <w:right w:val="single" w:sz="6" w:space="0" w:color="808080"/>
                  </w:tcBorders>
                  <w:vAlign w:val="center"/>
                </w:tcPr>
                <w:p>
                  <w:pPr>
                    <w:pStyle w:val="TableContents"/>
                    <w:bidi w:val="0"/>
                    <w:jc w:val="right"/>
                    <w:rPr>
                      <w:shd w:fill="C6EFCE" w:val="clear"/>
                    </w:rPr>
                  </w:pPr>
                  <w:r>
                    <w:rPr>
                      <w:shd w:fill="C6EFCE" w:val="clear"/>
                    </w:rPr>
                    <w:t>81.18% / 0.388</w:t>
                  </w:r>
                </w:p>
              </w:tc>
              <w:tc>
                <w:tcPr>
                  <w:tcW w:w="1851" w:type="dxa"/>
                  <w:tcBorders>
                    <w:left w:val="single" w:sz="2" w:space="0" w:color="808080"/>
                    <w:bottom w:val="single" w:sz="6" w:space="0" w:color="808080"/>
                    <w:right w:val="single" w:sz="6" w:space="0" w:color="808080"/>
                  </w:tcBorders>
                  <w:vAlign w:val="center"/>
                </w:tcPr>
                <w:p>
                  <w:pPr>
                    <w:pStyle w:val="TableContents"/>
                    <w:bidi w:val="0"/>
                    <w:jc w:val="right"/>
                    <w:rPr>
                      <w:shd w:fill="C6EFCE" w:val="clear"/>
                    </w:rPr>
                  </w:pPr>
                  <w:r>
                    <w:rPr>
                      <w:shd w:fill="C6EFCE" w:val="clear"/>
                    </w:rPr>
                    <w:t>75.39% / 0.250</w:t>
                  </w:r>
                </w:p>
              </w:tc>
            </w:tr>
          </w:tbl>
          <w:p>
            <w:pPr>
              <w:pStyle w:val="TableContents"/>
              <w:bidi w:val="0"/>
              <w:spacing w:before="0" w:after="283"/>
              <w:jc w:val="left"/>
              <w:rPr/>
            </w:pPr>
            <w:r>
              <w:rPr/>
              <w:t> </w:t>
            </w:r>
          </w:p>
          <w:p>
            <w:pPr>
              <w:pStyle w:val="TableContents"/>
              <w:bidi w:val="0"/>
              <w:spacing w:before="0" w:after="283"/>
              <w:jc w:val="left"/>
              <w:rPr/>
            </w:pPr>
            <w:r>
              <w:rPr/>
              <w:t xml:space="preserve">On ADNI, ARI is highest at K = 2, and additional components split the disease cluster without improving agreement. On OAI, an unconstrained refit prefers K = 3 over K = 2 (ARI 0.144 vs. 0.085), but both are well below the constrained two-component prior used in our method (ARI 0.250). We also compared alternative clustering algorithms on the same codes. k-means, agglomerative (Ward) and spectral clustering give ARI of </w:t>
            </w:r>
            <w:r>
              <w:rPr>
                <w:shd w:fill="FFFF00" w:val="clear"/>
              </w:rPr>
              <w:t>[FILL]</w:t>
            </w:r>
            <w:r>
              <w:rPr/>
              <w:t xml:space="preserve">, </w:t>
            </w:r>
            <w:r>
              <w:rPr>
                <w:shd w:fill="FFFF00" w:val="clear"/>
              </w:rPr>
              <w:t>[FILL]</w:t>
            </w:r>
            <w:r>
              <w:rPr/>
              <w:t xml:space="preserve"> and </w:t>
            </w:r>
            <w:r>
              <w:rPr>
                <w:shd w:fill="FFFF00" w:val="clear"/>
              </w:rPr>
              <w:t>[FILL]</w:t>
            </w:r>
            <w:r>
              <w:rPr/>
              <w:t xml:space="preserve"> on ADNI, and </w:t>
            </w:r>
            <w:r>
              <w:rPr>
                <w:shd w:fill="FFFF00" w:val="clear"/>
              </w:rPr>
              <w:t>[FILL]</w:t>
            </w:r>
            <w:r>
              <w:rPr/>
              <w:t xml:space="preserve">, </w:t>
            </w:r>
            <w:r>
              <w:rPr>
                <w:shd w:fill="FFFF00" w:val="clear"/>
              </w:rPr>
              <w:t>[FILL]</w:t>
            </w:r>
            <w:r>
              <w:rPr/>
              <w:t xml:space="preserve"> and </w:t>
            </w:r>
            <w:r>
              <w:rPr>
                <w:shd w:fill="FFFF00" w:val="clear"/>
              </w:rPr>
              <w:t>[FILL]</w:t>
            </w:r>
            <w:r>
              <w:rPr/>
              <w:t xml:space="preserve"> on OAI. Any of these can replace the assignment step without changing stage 2.</w:t>
            </w:r>
          </w:p>
          <w:p>
            <w:pPr>
              <w:pStyle w:val="TableContents"/>
              <w:bidi w:val="0"/>
              <w:spacing w:before="0" w:after="283"/>
              <w:jc w:val="left"/>
              <w:rPr/>
            </w:pPr>
            <w:r>
              <w:rPr>
                <w:shd w:fill="FFFF00" w:val="clear"/>
              </w:rPr>
              <w:t>[DECISION — keep one:]</w:t>
            </w:r>
            <w:r>
              <w:rPr/>
              <w:t xml:space="preserve"> </w:t>
            </w:r>
            <w:r>
              <w:rPr>
                <w:shd w:fill="FFFF00" w:val="clear"/>
              </w:rPr>
              <w:t>[A: "Extending discovery to CN/MCI/AD requires retraining stage 1 on a cohort that includes MCI. ADNI-1 provides such data, and we identify it as the most direct extension of this work in Section VII."]</w:t>
            </w:r>
            <w:r>
              <w:rPr/>
              <w:t xml:space="preserve"> </w:t>
            </w:r>
            <w:r>
              <w:rPr>
                <w:shd w:fill="FFFF00" w:val="clear"/>
              </w:rPr>
              <w:t>[B: "We retrained stage 1 on CN/MCI/AD and clustered with K = 3: purity [FILL], ARI [FILL]; MCI shapes are distributed [FILL]."]</w:t>
            </w:r>
          </w:p>
        </w:tc>
      </w:tr>
      <w:tr>
        <w:trPr/>
        <w:tc>
          <w:tcPr>
            <w:tcW w:w="179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Section III-B clarifies that K is a free parameter and explains the choice of K = 2. A new supplementary table reports the K-sweep and the alternative algorithms. Sections VI and VII discuss multi-stage discovery as future work </w:t>
            </w:r>
            <w:r>
              <w:rPr>
                <w:shd w:fill="FFFF00" w:val="clear"/>
              </w:rPr>
              <w:t>[or: report the three-class experiment]</w:t>
            </w:r>
            <w:r>
              <w:rPr/>
              <w:t>.</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br/>
              <w:t>• The alternative-algorithm comparison runs on CPU in minutes (sklearn on the stage-1 codes). Do it: it answers "more flexible unsupervised clustering algorithms" directly.</w:t>
              <w:br/>
              <w:t>• The three-class MCI run costs about 17 h for stage-1 plus clustering. Recommendation: option A (future work) unless time allows; Reviewer 3 asked for minor revision.</w:t>
              <w:br/>
              <w:t>• Report the OAI K = 3 result honestly as above; do not claim K = 2 is best on OAI for unconstrained fits.</w:t>
              <w:br/>
              <w:t xml:space="preserve">• </w:t>
            </w:r>
            <w:r>
              <w:rPr>
                <w:b/>
                <w:sz w:val="19"/>
              </w:rPr>
              <w:t>Paper:</w:t>
            </w:r>
            <w:r>
              <w:rPr>
                <w:sz w:val="19"/>
              </w:rPr>
              <w:t xml:space="preserve"> III-B clarification plus supplementary table. </w:t>
            </w:r>
            <w:r>
              <w:rPr>
                <w:b/>
                <w:sz w:val="19"/>
              </w:rPr>
              <w:t>Response:</w:t>
            </w:r>
            <w:r>
              <w:rPr>
                <w:sz w:val="19"/>
              </w:rPr>
              <w:t xml:space="preserve"> as written. </w:t>
            </w:r>
          </w:p>
        </w:tc>
      </w:tr>
    </w:tbl>
    <w:p>
      <w:pPr>
        <w:pStyle w:val="Heading3"/>
        <w:bidi w:val="0"/>
        <w:jc w:val="left"/>
        <w:rPr/>
      </w:pPr>
      <w:r>
        <w:rPr/>
        <w:t>Comment 3.2 — Age and sex as weak priors for OAI clustering</w:t>
      </w:r>
    </w:p>
    <w:tbl>
      <w:tblPr>
        <w:tblW w:w="5000" w:type="pct"/>
        <w:jc w:val="left"/>
        <w:tblInd w:w="-7" w:type="dxa"/>
        <w:tblLayout w:type="fixed"/>
        <w:tblCellMar>
          <w:top w:w="90" w:type="dxa"/>
          <w:left w:w="90" w:type="dxa"/>
          <w:bottom w:w="90" w:type="dxa"/>
          <w:right w:w="90" w:type="dxa"/>
        </w:tblCellMar>
      </w:tblPr>
      <w:tblGrid>
        <w:gridCol w:w="1791"/>
        <w:gridCol w:w="8747"/>
      </w:tblGrid>
      <w:tr>
        <w:trPr/>
        <w:tc>
          <w:tcPr>
            <w:tcW w:w="1791"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7"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t xml:space="preserve">Direct covariates </w:t>
            </w:r>
            <w:r>
              <w:rPr>
                <w:b/>
                <w:color w:val="1F6F43"/>
              </w:rPr>
              <w:t>FINAL</w:t>
            </w:r>
            <w:r>
              <w:rPr/>
              <w:t xml:space="preserve"> (OAI; mechanism to verify) · age-only, residualization and ADNI </w:t>
            </w:r>
            <w:r>
              <w:rPr>
                <w:b/>
                <w:color w:val="B26B00"/>
              </w:rPr>
              <w:t>NEEDS RESULT</w:t>
            </w:r>
            <w:r>
              <w:rPr/>
              <w:t xml:space="preserve"> (CPU)</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7"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"The experimental results show that the clustering purity on the OAI dataset is only 73.66%, significantly lower than 82.37% on the ADNI dataset. It is recommended to introduce easily obtainable covariates such as age and gender as weak priors to guide clustering in the first-stage clustering process."</w:t>
            </w:r>
          </w:p>
        </w:tc>
      </w:tr>
      <w:tr>
        <w:trPr/>
        <w:tc>
          <w:tcPr>
            <w:tcW w:w="179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 thank the reviewer for this suggestion and tested it in two ways.</w:t>
            </w:r>
          </w:p>
          <w:p>
            <w:pPr>
              <w:pStyle w:val="TableContents"/>
              <w:bidi w:val="0"/>
              <w:spacing w:before="0" w:after="283"/>
              <w:jc w:val="left"/>
              <w:rPr/>
            </w:pPr>
            <w:r>
              <w:rPr>
                <w:b/>
              </w:rPr>
              <w:t>(i) Covariates as additional clustering features.</w:t>
            </w:r>
            <w:r>
              <w:rPr/>
              <w:t xml:space="preserve"> We appended standardized age and sex to the OAI shape codes. Compared with the same clustering on the shape codes alone (balanced accuracy </w:t>
            </w:r>
            <w:r>
              <w:rPr>
                <w:shd w:fill="C6EFCE" w:val="clear"/>
              </w:rPr>
              <w:t>68.1%</w:t>
            </w:r>
            <w:r>
              <w:rPr/>
              <w:t xml:space="preserve">, ARI </w:t>
            </w:r>
            <w:r>
              <w:rPr>
                <w:shd w:fill="C6EFCE" w:val="clear"/>
              </w:rPr>
              <w:t>0.085</w:t>
            </w:r>
            <w:r>
              <w:rPr/>
              <w:t xml:space="preserve">, κ </w:t>
            </w:r>
            <w:r>
              <w:rPr>
                <w:shd w:fill="C6EFCE" w:val="clear"/>
              </w:rPr>
              <w:t>0.310</w:t>
            </w:r>
            <w:r>
              <w:rPr/>
              <w:t xml:space="preserve">), adding the covariates reduced balanced accuracy to </w:t>
            </w:r>
            <w:r>
              <w:rPr>
                <w:shd w:fill="C6EFCE" w:val="clear"/>
              </w:rPr>
              <w:t>58.0%</w:t>
            </w:r>
            <w:r>
              <w:rPr/>
              <w:t xml:space="preserve">, ARI to </w:t>
            </w:r>
            <w:r>
              <w:rPr>
                <w:shd w:fill="C6EFCE" w:val="clear"/>
              </w:rPr>
              <w:t>0.015</w:t>
            </w:r>
            <w:r>
              <w:rPr/>
              <w:t xml:space="preserve"> and κ to </w:t>
            </w:r>
            <w:r>
              <w:rPr>
                <w:shd w:fill="C6EFCE" w:val="clear"/>
              </w:rPr>
              <w:t>0.140</w:t>
            </w:r>
            <w:r>
              <w:rPr/>
              <w:t xml:space="preserve">. The corresponding ADNI result is </w:t>
            </w:r>
            <w:r>
              <w:rPr>
                <w:shd w:fill="FFFF00" w:val="clear"/>
              </w:rPr>
              <w:t>[FILL]</w:t>
            </w:r>
            <w:r>
              <w:rPr/>
              <w:t xml:space="preserve">. The mechanism is instructive: sex is binary and therefore perfectly bimodal, so a two-component mixture over the augmented features separates the shapes largely by sex </w:t>
            </w:r>
            <w:r>
              <w:rPr>
                <w:shd w:fill="FFFF00" w:val="clear"/>
              </w:rPr>
              <w:t>[VERIFY: cluster–sex cross-tabulation]</w:t>
            </w:r>
            <w:r>
              <w:rPr/>
              <w:t>. Reweighting the covariates cannot prevent this, because a diagonal-covariance mixture is invariant to rescaling individual features. Naively appending covariates is therefore inappropriate, whatever information they carry. There is also a conceptual objection: if disease discovery depends on age, the pseudo disease label becomes coupled to the very factor that stage 2 is designed to separate from it.</w:t>
            </w:r>
          </w:p>
          <w:p>
            <w:pPr>
              <w:pStyle w:val="TableContents"/>
              <w:bidi w:val="0"/>
              <w:spacing w:before="0" w:after="283"/>
              <w:jc w:val="left"/>
              <w:rPr/>
            </w:pPr>
            <w:r>
              <w:rPr>
                <w:b/>
              </w:rPr>
              <w:t>(ii) Covariates as nuisance variables.</w:t>
            </w:r>
            <w:r>
              <w:rPr/>
              <w:t xml:space="preserve"> A formulation more consistent with our goal treats age and sex as confounds to remove rather than as features. We regressed age and sex out of the stage-1 codes before clustering, which gives OAI purity </w:t>
            </w:r>
            <w:r>
              <w:rPr>
                <w:shd w:fill="FFFF00" w:val="clear"/>
              </w:rPr>
              <w:t>[FILL]</w:t>
            </w:r>
            <w:r>
              <w:rPr/>
              <w:t xml:space="preserve">, balanced accuracy </w:t>
            </w:r>
            <w:r>
              <w:rPr>
                <w:shd w:fill="FFFF00" w:val="clear"/>
              </w:rPr>
              <w:t>[FILL]</w:t>
            </w:r>
            <w:r>
              <w:rPr/>
              <w:t xml:space="preserve"> and ARI </w:t>
            </w:r>
            <w:r>
              <w:rPr>
                <w:shd w:fill="FFFF00" w:val="clear"/>
              </w:rPr>
              <w:t>[FILL]</w:t>
            </w:r>
            <w:r>
              <w:rPr/>
              <w:t xml:space="preserve"> (ADNI: </w:t>
            </w:r>
            <w:r>
              <w:rPr>
                <w:shd w:fill="FFFF00" w:val="clear"/>
              </w:rPr>
              <w:t>[FILL]</w:t>
            </w:r>
            <w:r>
              <w:rPr/>
              <w:t xml:space="preserve">). With age alone appended (no binary covariate), OAI purity is </w:t>
            </w:r>
            <w:r>
              <w:rPr>
                <w:shd w:fill="FFFF00" w:val="clear"/>
              </w:rPr>
              <w:t>[FILL]</w:t>
            </w:r>
            <w:r>
              <w:rPr/>
              <w:t xml:space="preserve"> and ARI </w:t>
            </w:r>
            <w:r>
              <w:rPr>
                <w:shd w:fill="FFFF00" w:val="clear"/>
              </w:rPr>
              <w:t>[FILL]</w:t>
            </w:r>
            <w:r>
              <w:rPr/>
              <w:t xml:space="preserve">. </w:t>
            </w:r>
            <w:r>
              <w:rPr>
                <w:shd w:fill="FFFF00" w:val="clear"/>
              </w:rPr>
              <w:t>[FILL — if it improves: "This improves OAI agreement, and we report it as an optional variant of the discovery stage." / if not: "This does not improve agreement, which suggests that the weaker OAI clustering reflects the subtlety of the disease effect on femoral shape rather than covariate confounding."]</w:t>
            </w:r>
          </w:p>
        </w:tc>
      </w:tr>
      <w:tr>
        <w:trPr/>
        <w:tc>
          <w:tcPr>
            <w:tcW w:w="1791"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New supplementary table with both variants, and a short paragraph in Section V-A or VI summarizing the finding and the conceptual argument.</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br/>
              <w:t xml:space="preserve">• The fair baseline for (i) is the same post-hoc clustering on codes alone (68.1% / 0.085 / 0.310), </w:t>
            </w:r>
            <w:r>
              <w:rPr>
                <w:i/>
                <w:sz w:val="19"/>
              </w:rPr>
              <w:t>not</w:t>
            </w:r>
            <w:r>
              <w:rPr>
                <w:sz w:val="19"/>
              </w:rPr>
              <w:t xml:space="preserve"> the in-training constrained prior (74.5% / 0.250). The "Three Ways the Tables Land" page compared against the latter; use this version.</w:t>
              <w:br/>
              <w:t>• Identical results at weights 0.5–4 are explained by the scale invariance of a diagonal GMM. The "age dominates" explanation on the planning pages is likely wrong: cross-tabulate the two clusters against sex, and rerun with age only.</w:t>
              <w:br/>
              <w:t>• Residualization (ii) is a CPU script: a linear regression of the codes on [age, sex], then clustering of the residuals. If it helps OAI substantially, consider regenerating the OAI pseudo-labels with it. Otherwise report it only as an analysis.</w:t>
              <w:br/>
              <w:t xml:space="preserve">• </w:t>
            </w:r>
            <w:r>
              <w:rPr>
                <w:b/>
                <w:sz w:val="19"/>
              </w:rPr>
              <w:t>Paper:</w:t>
            </w:r>
            <w:r>
              <w:rPr>
                <w:sz w:val="19"/>
              </w:rPr>
              <w:t xml:space="preserve"> supplementary table plus one paragraph. </w:t>
            </w:r>
            <w:r>
              <w:rPr>
                <w:b/>
                <w:sz w:val="19"/>
              </w:rPr>
              <w:t>Response:</w:t>
            </w:r>
            <w:r>
              <w:rPr>
                <w:sz w:val="19"/>
              </w:rPr>
              <w:t xml:space="preserve"> as written. </w:t>
            </w:r>
          </w:p>
        </w:tc>
      </w:tr>
    </w:tbl>
    <w:p>
      <w:pPr>
        <w:pStyle w:val="Heading3"/>
        <w:bidi w:val="0"/>
        <w:jc w:val="left"/>
        <w:rPr/>
      </w:pPr>
      <w:r>
        <w:rPr/>
        <w:t>Comment 3.3 — Semi- or self-supervised medical shape baselines and the supervised upper bound</w:t>
      </w:r>
    </w:p>
    <w:tbl>
      <w:tblPr>
        <w:tblW w:w="5000" w:type="pct"/>
        <w:jc w:val="left"/>
        <w:tblInd w:w="-7" w:type="dxa"/>
        <w:tblLayout w:type="fixed"/>
        <w:tblCellMar>
          <w:top w:w="90" w:type="dxa"/>
          <w:left w:w="90" w:type="dxa"/>
          <w:bottom w:w="90" w:type="dxa"/>
          <w:right w:w="90" w:type="dxa"/>
        </w:tblCellMar>
      </w:tblPr>
      <w:tblGrid>
        <w:gridCol w:w="1790"/>
        <w:gridCol w:w="8748"/>
      </w:tblGrid>
      <w:tr>
        <w:trPr/>
        <w:tc>
          <w:tcPr>
            <w:tcW w:w="1790" w:type="dxa"/>
            <w:tcBorders>
              <w:top w:val="single" w:sz="6" w:space="0" w:color="808080"/>
              <w:left w:val="single" w:sz="6" w:space="0" w:color="808080"/>
              <w:bottom w:val="single" w:sz="2" w:space="0" w:color="808080"/>
              <w:right w:val="single" w:sz="6" w:space="0" w:color="808080"/>
            </w:tcBorders>
            <w:shd w:fill="DCE6F1" w:val="clear"/>
            <w:vAlign w:val="center"/>
          </w:tcPr>
          <w:p>
            <w:pPr>
              <w:pStyle w:val="TableContents"/>
              <w:bidi w:val="0"/>
              <w:jc w:val="left"/>
              <w:rPr>
                <w:b/>
              </w:rPr>
            </w:pPr>
            <w:r>
              <w:rPr>
                <w:b/>
              </w:rPr>
              <w:t>Status</w:t>
            </w:r>
          </w:p>
        </w:tc>
        <w:tc>
          <w:tcPr>
            <w:tcW w:w="8748" w:type="dxa"/>
            <w:tcBorders>
              <w:top w:val="single" w:sz="6" w:space="0" w:color="808080"/>
              <w:left w:val="single" w:sz="2" w:space="0" w:color="808080"/>
              <w:bottom w:val="single" w:sz="2" w:space="0" w:color="808080"/>
              <w:right w:val="single" w:sz="6" w:space="0" w:color="808080"/>
            </w:tcBorders>
            <w:shd w:fill="DCE6F1" w:val="clear"/>
            <w:vAlign w:val="center"/>
          </w:tcPr>
          <w:p>
            <w:pPr>
              <w:pStyle w:val="TableContents"/>
              <w:widowControl w:val="false"/>
              <w:suppressLineNumbers/>
              <w:bidi w:val="0"/>
              <w:jc w:val="left"/>
              <w:rPr/>
            </w:pPr>
            <w:r>
              <w:rPr/>
              <w:t xml:space="preserve">Supervised row </w:t>
            </w:r>
            <w:r>
              <w:rPr>
                <w:b/>
                <w:color w:val="B26B00"/>
              </w:rPr>
              <w:t>NEEDS RESULT</w:t>
            </w:r>
            <w:r>
              <w:rPr/>
              <w:t xml:space="preserve"> · weakly supervised baseline </w:t>
            </w:r>
            <w:r>
              <w:rPr>
                <w:b/>
                <w:color w:val="B00020"/>
              </w:rPr>
              <w:t>DECISION</w:t>
            </w:r>
            <w:r>
              <w:rPr/>
              <w:t xml:space="preserve"> (recommended: run it)</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a) Reviewer's concern</w:t>
            </w:r>
          </w:p>
        </w:tc>
        <w:tc>
          <w:tcPr>
            <w:tcW w:w="8748" w:type="dxa"/>
            <w:tcBorders>
              <w:left w:val="single" w:sz="2" w:space="0" w:color="808080"/>
              <w:bottom w:val="single" w:sz="2" w:space="0" w:color="808080"/>
              <w:right w:val="single" w:sz="6" w:space="0" w:color="808080"/>
            </w:tcBorders>
            <w:vAlign w:val="center"/>
          </w:tcPr>
          <w:p>
            <w:pPr>
              <w:pStyle w:val="TableContents"/>
              <w:bidi w:val="0"/>
              <w:jc w:val="left"/>
              <w:rPr>
                <w:i/>
              </w:rPr>
            </w:pPr>
            <w:r>
              <w:rPr>
                <w:i/>
              </w:rPr>
              <w:t>"The comparison baselines in the second stage currently are all general unsupervised decoupling methods and do not include recent SOTA methods for semi-supervised/self-supervised decoupling in medical shapes. It is recommended to supplement the experimental results of related baselines to further highlight the performance advantages of this method; at the same time, it can also supplement the performance gap with fully supervised decoupling methods to clearly define the performance upper limit of the self-supervised scheme."</w:t>
            </w:r>
          </w:p>
        </w:tc>
      </w:tr>
      <w:tr>
        <w:trPr/>
        <w:tc>
          <w:tcPr>
            <w:tcW w:w="17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b) Response</w:t>
            </w:r>
          </w:p>
        </w:tc>
        <w:tc>
          <w:tcPr>
            <w:tcW w:w="87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(i) Fully supervised upper bound.</w:t>
            </w:r>
            <w:r>
              <w:rPr/>
              <w:t xml:space="preserve"> We agree this should be explicit. The supervised model (100% real diagnosis labels, same architecture and losses) was already present as the right-most point of Figure 4. It is now a separate row in Table 3, retrained on the same stage-1 codes as every other row, with all metrics over five seeds. Disease SAP is </w:t>
            </w:r>
            <w:r>
              <w:rPr>
                <w:shd w:fill="FFFF00" w:val="clear"/>
              </w:rPr>
              <w:t>[FILL]</w:t>
            </w:r>
            <w:r>
              <w:rPr/>
              <w:t xml:space="preserve"> on ADNI and </w:t>
            </w:r>
            <w:r>
              <w:rPr>
                <w:shd w:fill="FFFF00" w:val="clear"/>
              </w:rPr>
              <w:t>[FILL]</w:t>
            </w:r>
            <w:r>
              <w:rPr/>
              <w:t xml:space="preserve"> on OAI, against </w:t>
            </w:r>
            <w:r>
              <w:rPr>
                <w:shd w:fill="FFFF00" w:val="clear"/>
              </w:rPr>
              <w:t>[FILL]</w:t>
            </w:r>
            <w:r>
              <w:rPr/>
              <w:t xml:space="preserve"> and </w:t>
            </w:r>
            <w:r>
              <w:rPr>
                <w:shd w:fill="FFFF00" w:val="clear"/>
              </w:rPr>
              <w:t>[FILL]</w:t>
            </w:r>
            <w:r>
              <w:rPr/>
              <w:t xml:space="preserve"> for our self-supervised model. </w:t>
            </w:r>
            <w:r>
              <w:rPr>
                <w:shd w:fill="FFFF00" w:val="clear"/>
              </w:rPr>
              <w:t>[FILL — expected wording: "On ADNI the difference is [Δ] (95% CI [a, b]), small relative to the [Δ'] gain over the best unsupervised baseline; on OAI the self-supervised model recovers [X]% of the supervised performance."]</w:t>
            </w:r>
          </w:p>
          <w:p>
            <w:pPr>
              <w:pStyle w:val="TableContents"/>
              <w:bidi w:val="0"/>
              <w:spacing w:before="0" w:after="283"/>
              <w:jc w:val="left"/>
              <w:rPr/>
            </w:pPr>
            <w:r>
              <w:rPr>
                <w:b/>
              </w:rPr>
              <w:t>(ii) Semi- and self-supervised medical shape methods.</w:t>
            </w:r>
            <w:r>
              <w:rPr/>
              <w:t xml:space="preserve"> We reviewed the most closely related methods and found that none can be applied directly under our input and label conditions. Mini-batch feature swapping [25] requires meshes with fixed connectivity and operates on vertex positions. Kiechle et al. [17] and our mesh VAE [18] are fully supervised and mesh-based. Contrastive-analysis models [30], [31] require a labelled background (healthy) cohort, which amounts to diagnosis supervision. The weakly supervised method of Ouyang et al. [16] requires longitudinal pairs. </w:t>
            </w:r>
            <w:r>
              <w:rPr>
                <w:shd w:fill="FFFF00" w:val="clear"/>
              </w:rPr>
              <w:t>[DECISION — keep if run:]</w:t>
            </w:r>
            <w:r>
              <w:rPr/>
              <w:t xml:space="preserve"> </w:t>
            </w:r>
            <w:r>
              <w:rPr>
                <w:shd w:fill="FFFF00" w:val="clear"/>
              </w:rPr>
              <w:t>To nevertheless provide a representative weakly supervised medical baseline with identical inputs, we implemented an attribute-regularized VAE in the style of Attri-VAE [27] on the same stage-1 codes. It uses the same pseudo-labels and age labels, with an attribute loss on the designated coordinates in place of our SNNL and regularization terms. It reaches disease SAP [FILL] (ADNI) and [FILL] (OAI), compared with [FILL] and [FILL] for our model (p = [FILL]). This comparison isolates the contribution of our objective from that of the pseudo-labels.</w:t>
            </w:r>
          </w:p>
        </w:tc>
      </w:tr>
      <w:tr>
        <w:trPr/>
        <w:tc>
          <w:tcPr>
            <w:tcW w:w="1790"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c) Action taken</w:t>
            </w:r>
          </w:p>
        </w:tc>
        <w:tc>
          <w:tcPr>
            <w:tcW w:w="87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Table 3 gains a "Supervised (100% labels)" row </w:t>
            </w:r>
            <w:r>
              <w:rPr>
                <w:shd w:fill="FFFF00" w:val="clear"/>
              </w:rPr>
              <w:t>[and an "Attri-VAE-style (pseudo-labels)" row]</w:t>
            </w:r>
            <w:r>
              <w:rPr/>
              <w:t>. Section V-A discusses the gap to the upper bound. Section II adds a sentence on why mesh-based and contrastive-analysis methods are not directly applicable to implicit codes.</w:t>
            </w:r>
          </w:p>
        </w:tc>
      </w:tr>
    </w:tbl>
    <w:tbl>
      <w:tblPr>
        <w:tblW w:w="5000" w:type="pct"/>
        <w:jc w:val="left"/>
        <w:tblInd w:w="-7" w:type="dxa"/>
        <w:tblLayout w:type="fixed"/>
        <w:tblCellMar>
          <w:top w:w="90" w:type="dxa"/>
          <w:left w:w="90" w:type="dxa"/>
          <w:bottom w:w="90" w:type="dxa"/>
          <w:right w:w="9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jc w:val="left"/>
              <w:rPr>
                <w:sz w:val="19"/>
              </w:rPr>
            </w:pPr>
            <w:r>
              <w:rPr>
                <w:b/>
                <w:sz w:val="19"/>
              </w:rPr>
              <w:t>AUTHOR NOTE — DELETE BEFORE SUBMISSION</w:t>
            </w:r>
            <w:r>
              <w:rPr>
                <w:sz w:val="19"/>
              </w:rPr>
              <w:br/>
              <w:t xml:space="preserve">• </w:t>
            </w:r>
            <w:r>
              <w:rPr>
                <w:b/>
                <w:sz w:val="19"/>
              </w:rPr>
              <w:t>Recommendation: run the Attri-VAE-style baseline.</w:t>
            </w:r>
            <w:r>
              <w:rPr>
                <w:sz w:val="19"/>
              </w:rPr>
              <w:t xml:space="preserve"> IEEE Access allows only one resubmission, and a concern judged "not addressed" means rejection. The training code already has an attribute-loss option (AttributeLoss / AttributeWeight / AttributeLatentIndex), so this is a configuration change. Cost: 5 seeds × 2 datasets ≈ 48 GPU-h ≈ 16 h wall on three GPUs.</w:t>
              <w:br/>
              <w:t xml:space="preserve">• The attribute-loss option in the code regularizes one attribute (AttributeLatentIndex) </w:t>
            </w:r>
            <w:r>
              <w:rPr>
                <w:sz w:val="19"/>
                <w:shd w:fill="FFFF00" w:val="clear"/>
              </w:rPr>
              <w:t>[VERIFY]</w:t>
            </w:r>
            <w:r>
              <w:rPr>
                <w:sz w:val="19"/>
              </w:rPr>
              <w:t>. The Attri-VAE-style baseline needs attribute terms on both the disease and the age coordinates, which may need a small code change.</w:t>
              <w:br/>
              <w:t xml:space="preserve">• The supervised row must use the </w:t>
            </w:r>
            <w:r>
              <w:rPr>
                <w:i/>
                <w:sz w:val="19"/>
              </w:rPr>
              <w:t>same</w:t>
            </w:r>
            <w:r>
              <w:rPr>
                <w:sz w:val="19"/>
              </w:rPr>
              <w:t xml:space="preserve"> stage-1 codes as the other rows. The current supervised config points to a different stage-1 run; retrain it on the final codes.</w:t>
              <w:br/>
              <w:t>• If the baseline is not run: delete the yellow sentence in (ii) and keep (i) plus the applicability argument.</w:t>
              <w:br/>
              <w:t xml:space="preserve">• </w:t>
            </w:r>
            <w:r>
              <w:rPr>
                <w:b/>
                <w:sz w:val="19"/>
              </w:rPr>
              <w:t>Paper:</w:t>
            </w:r>
            <w:r>
              <w:rPr>
                <w:sz w:val="19"/>
              </w:rPr>
              <w:t xml:space="preserve"> new rows, V-A discussion, Section II sentence. </w:t>
            </w:r>
            <w:r>
              <w:rPr>
                <w:b/>
                <w:sz w:val="19"/>
              </w:rPr>
              <w:t>Response:</w:t>
            </w:r>
            <w:r>
              <w:rPr>
                <w:sz w:val="19"/>
              </w:rPr>
              <w:t xml:space="preserve"> as written. </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t>We thank the reviewers again for their comments, which have substantially improved the rigor and clarity of the manuscript.</w:t>
      </w:r>
    </w:p>
    <w:p>
      <w:pPr>
        <w:pStyle w:val="TextBody"/>
        <w:bidi w:val="0"/>
        <w:spacing w:lineRule="auto" w:line="276" w:before="0" w:after="120"/>
        <w:jc w:val="left"/>
        <w:rPr/>
      </w:pPr>
      <w:r>
        <w:rPr/>
        <w:t>Sincerely,</w:t>
        <w:br/>
        <w:t>Jakaria Rabbi, Nilanjan Ray, and Dana Cobzas</w:t>
      </w:r>
    </w:p>
    <w:p>
      <w:pPr>
        <w:pStyle w:val="TextBody"/>
        <w:bidi w:val="0"/>
        <w:spacing w:lineRule="auto" w:line="276" w:before="0" w:after="120"/>
        <w:jc w:val="left"/>
        <w:rPr/>
      </w:pPr>
      <w:r>
        <w:rPr/>
        <w:t> </w:t>
      </w:r>
    </w:p>
    <w:tbl>
      <w:tblPr>
        <w:tblW w:w="5000" w:type="pct"/>
        <w:jc w:val="left"/>
        <w:tblInd w:w="-7" w:type="dxa"/>
        <w:tblLayout w:type="fixed"/>
        <w:tblCellMar>
          <w:top w:w="120" w:type="dxa"/>
          <w:left w:w="120" w:type="dxa"/>
          <w:bottom w:w="120" w:type="dxa"/>
          <w:right w:w="120" w:type="dxa"/>
        </w:tblCellMar>
      </w:tblPr>
      <w:tblGrid>
        <w:gridCol w:w="10539"/>
      </w:tblGrid>
      <w:tr>
        <w:trPr/>
        <w:tc>
          <w:tcPr>
            <w:tcW w:w="10539" w:type="dxa"/>
            <w:tcBorders>
              <w:top w:val="single" w:sz="6" w:space="0" w:color="808080"/>
              <w:left w:val="single" w:sz="6" w:space="0" w:color="808080"/>
              <w:bottom w:val="single" w:sz="6" w:space="0" w:color="808080"/>
              <w:right w:val="single" w:sz="6" w:space="0" w:color="808080"/>
            </w:tcBorders>
            <w:shd w:fill="EDEDED" w:val="clear"/>
            <w:vAlign w:val="center"/>
          </w:tcPr>
          <w:p>
            <w:pPr>
              <w:pStyle w:val="TableContents"/>
              <w:bidi w:val="0"/>
              <w:spacing w:before="0" w:after="283"/>
              <w:jc w:val="left"/>
              <w:rPr>
                <w:b/>
              </w:rPr>
            </w:pPr>
            <w:r>
              <w:rPr>
                <w:b/>
              </w:rPr>
              <w:t>AUTHOR CHECKLIST — DELETE THIS WHOLE SECTION BEFORE SUBMISSION</w:t>
            </w:r>
          </w:p>
          <w:p>
            <w:pPr>
              <w:pStyle w:val="TableContents"/>
              <w:bidi w:val="0"/>
              <w:spacing w:before="0" w:after="283"/>
              <w:jc w:val="left"/>
              <w:rPr>
                <w:b/>
              </w:rPr>
            </w:pPr>
            <w:r>
              <w:rPr>
                <w:b/>
              </w:rPr>
              <w:t>A. Experiments and analyses still to run</w:t>
            </w:r>
          </w:p>
          <w:tbl>
            <w:tblPr>
              <w:tblW w:w="5000" w:type="pct"/>
              <w:jc w:val="left"/>
              <w:tblInd w:w="-7" w:type="dxa"/>
              <w:tblLayout w:type="fixed"/>
              <w:tblCellMar>
                <w:top w:w="45" w:type="dxa"/>
                <w:left w:w="45" w:type="dxa"/>
                <w:bottom w:w="45" w:type="dxa"/>
                <w:right w:w="45" w:type="dxa"/>
              </w:tblCellMar>
            </w:tblPr>
            <w:tblGrid>
              <w:gridCol w:w="364"/>
              <w:gridCol w:w="5373"/>
              <w:gridCol w:w="1178"/>
              <w:gridCol w:w="2562"/>
              <w:gridCol w:w="822"/>
            </w:tblGrid>
            <w:tr>
              <w:trPr/>
              <w:tc>
                <w:tcPr>
                  <w:tcW w:w="364" w:type="dxa"/>
                  <w:tcBorders>
                    <w:top w:val="single" w:sz="6" w:space="0" w:color="808080"/>
                    <w:left w:val="single" w:sz="6" w:space="0" w:color="808080"/>
                    <w:bottom w:val="single" w:sz="2" w:space="0" w:color="808080"/>
                    <w:right w:val="single" w:sz="6" w:space="0" w:color="808080"/>
                  </w:tcBorders>
                  <w:shd w:fill="D9D9D9" w:val="clear"/>
                  <w:vAlign w:val="center"/>
                </w:tcPr>
                <w:p>
                  <w:pPr>
                    <w:pStyle w:val="TableContents"/>
                    <w:bidi w:val="0"/>
                    <w:jc w:val="left"/>
                    <w:rPr>
                      <w:b/>
                    </w:rPr>
                  </w:pPr>
                  <w:r>
                    <w:rPr>
                      <w:b/>
                    </w:rPr>
                    <w:t>#</w:t>
                  </w:r>
                </w:p>
              </w:tc>
              <w:tc>
                <w:tcPr>
                  <w:tcW w:w="5373" w:type="dxa"/>
                  <w:tcBorders>
                    <w:top w:val="single" w:sz="6" w:space="0" w:color="808080"/>
                    <w:left w:val="single" w:sz="2" w:space="0" w:color="808080"/>
                    <w:bottom w:val="single" w:sz="2" w:space="0" w:color="808080"/>
                    <w:right w:val="single" w:sz="6" w:space="0" w:color="808080"/>
                  </w:tcBorders>
                  <w:shd w:fill="D9D9D9" w:val="clear"/>
                  <w:vAlign w:val="center"/>
                </w:tcPr>
                <w:p>
                  <w:pPr>
                    <w:pStyle w:val="TableContents"/>
                    <w:bidi w:val="0"/>
                    <w:jc w:val="left"/>
                    <w:rPr>
                      <w:b/>
                    </w:rPr>
                  </w:pPr>
                  <w:r>
                    <w:rPr>
                      <w:b/>
                    </w:rPr>
                    <w:t>Item</w:t>
                  </w:r>
                </w:p>
              </w:tc>
              <w:tc>
                <w:tcPr>
                  <w:tcW w:w="1178" w:type="dxa"/>
                  <w:tcBorders>
                    <w:top w:val="single" w:sz="6" w:space="0" w:color="808080"/>
                    <w:left w:val="single" w:sz="2" w:space="0" w:color="808080"/>
                    <w:bottom w:val="single" w:sz="2" w:space="0" w:color="808080"/>
                    <w:right w:val="single" w:sz="6" w:space="0" w:color="808080"/>
                  </w:tcBorders>
                  <w:shd w:fill="D9D9D9" w:val="clear"/>
                  <w:vAlign w:val="center"/>
                </w:tcPr>
                <w:p>
                  <w:pPr>
                    <w:pStyle w:val="TableContents"/>
                    <w:bidi w:val="0"/>
                    <w:jc w:val="left"/>
                    <w:rPr>
                      <w:b/>
                    </w:rPr>
                  </w:pPr>
                  <w:r>
                    <w:rPr>
                      <w:b/>
                    </w:rPr>
                    <w:t>Comments</w:t>
                  </w:r>
                </w:p>
              </w:tc>
              <w:tc>
                <w:tcPr>
                  <w:tcW w:w="2562" w:type="dxa"/>
                  <w:tcBorders>
                    <w:top w:val="single" w:sz="6" w:space="0" w:color="808080"/>
                    <w:left w:val="single" w:sz="2" w:space="0" w:color="808080"/>
                    <w:bottom w:val="single" w:sz="2" w:space="0" w:color="808080"/>
                    <w:right w:val="single" w:sz="6" w:space="0" w:color="808080"/>
                  </w:tcBorders>
                  <w:shd w:fill="D9D9D9" w:val="clear"/>
                  <w:vAlign w:val="center"/>
                </w:tcPr>
                <w:p>
                  <w:pPr>
                    <w:pStyle w:val="TableContents"/>
                    <w:bidi w:val="0"/>
                    <w:jc w:val="left"/>
                    <w:rPr>
                      <w:b/>
                    </w:rPr>
                  </w:pPr>
                  <w:r>
                    <w:rPr>
                      <w:b/>
                    </w:rPr>
                    <w:t>Compute</w:t>
                  </w:r>
                </w:p>
              </w:tc>
              <w:tc>
                <w:tcPr>
                  <w:tcW w:w="822" w:type="dxa"/>
                  <w:tcBorders>
                    <w:top w:val="single" w:sz="6" w:space="0" w:color="808080"/>
                    <w:left w:val="single" w:sz="2" w:space="0" w:color="808080"/>
                    <w:bottom w:val="single" w:sz="2" w:space="0" w:color="808080"/>
                    <w:right w:val="single" w:sz="6" w:space="0" w:color="808080"/>
                  </w:tcBorders>
                  <w:shd w:fill="D9D9D9" w:val="clear"/>
                  <w:vAlign w:val="center"/>
                </w:tcPr>
                <w:p>
                  <w:pPr>
                    <w:pStyle w:val="TableContents"/>
                    <w:bidi w:val="0"/>
                    <w:jc w:val="left"/>
                    <w:rPr>
                      <w:b/>
                    </w:rPr>
                  </w:pPr>
                  <w:r>
                    <w:rPr>
                      <w:b/>
                    </w:rPr>
                    <w:t>Order</w:t>
                  </w:r>
                </w:p>
              </w:tc>
            </w:tr>
            <w:tr>
              <w:trPr/>
              <w:tc>
                <w:tcPr>
                  <w:tcW w:w="36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5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Regenerate OAI stage-2 at the paper's configuration; confirm it matches the published row</w:t>
                  </w:r>
                </w:p>
              </w:tc>
              <w:tc>
                <w:tcPr>
                  <w:tcW w:w="11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1.1, 1.2</w:t>
                  </w:r>
                </w:p>
              </w:tc>
              <w:tc>
                <w:tcPr>
                  <w:tcW w:w="25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GPU ~3 h</w:t>
                  </w:r>
                </w:p>
              </w:tc>
              <w:tc>
                <w:tcPr>
                  <w:tcW w:w="8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First</w:t>
                  </w:r>
                </w:p>
              </w:tc>
            </w:tr>
            <w:tr>
              <w:trPr/>
              <w:tc>
                <w:tcPr>
                  <w:tcW w:w="36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5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Five-seed runs: β-VAE, β-TCVAE, DIP-VAE, w/o adaptive T, w/o cov, ours, supervised × ADNI, OAI</w:t>
                  </w:r>
                </w:p>
              </w:tc>
              <w:tc>
                <w:tcPr>
                  <w:tcW w:w="11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1.2, 2.2, 3.3</w:t>
                  </w:r>
                </w:p>
              </w:tc>
              <w:tc>
                <w:tcPr>
                  <w:tcW w:w="25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GPU ~63 h wall (+~48 h if the β-VAE family uses the SDF loss)</w:t>
                  </w:r>
                </w:p>
              </w:tc>
              <w:tc>
                <w:tcPr>
                  <w:tcW w:w="8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After 1</w:t>
                  </w:r>
                </w:p>
              </w:tc>
            </w:tr>
            <w:tr>
              <w:trPr/>
              <w:tc>
                <w:tcPr>
                  <w:tcW w:w="36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5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Attri-VAE-style baseline, 5 seeds × 2 datasets (recommended)</w:t>
                  </w:r>
                </w:p>
              </w:tc>
              <w:tc>
                <w:tcPr>
                  <w:tcW w:w="11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3.3</w:t>
                  </w:r>
                </w:p>
              </w:tc>
              <w:tc>
                <w:tcPr>
                  <w:tcW w:w="25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GPU ~16 h wall</w:t>
                  </w:r>
                </w:p>
              </w:tc>
              <w:tc>
                <w:tcPr>
                  <w:tcW w:w="8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With 2</w:t>
                  </w:r>
                </w:p>
              </w:tc>
            </w:tr>
            <w:tr>
              <w:trPr/>
              <w:tc>
                <w:tcPr>
                  <w:tcW w:w="36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5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Loss-weight sensitivity: 5 weights × ±50% + centre × 3 seeds, 500 epochs, ADNI, log Chamfer</w:t>
                  </w:r>
                </w:p>
              </w:tc>
              <w:tc>
                <w:tcPr>
                  <w:tcW w:w="11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1.3</w:t>
                  </w:r>
                </w:p>
              </w:tc>
              <w:tc>
                <w:tcPr>
                  <w:tcW w:w="25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GPU ~19 h wall</w:t>
                  </w:r>
                </w:p>
              </w:tc>
              <w:tc>
                <w:tcPr>
                  <w:tcW w:w="8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With 2</w:t>
                  </w:r>
                </w:p>
              </w:tc>
            </w:tr>
            <w:tr>
              <w:trPr/>
              <w:tc>
                <w:tcPr>
                  <w:tcW w:w="36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5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Regenerate Figure 5 SAP curve (0–50% flips); Figure 4 missing points and bands</w:t>
                  </w:r>
                </w:p>
              </w:tc>
              <w:tc>
                <w:tcPr>
                  <w:tcW w:w="11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2.2</w:t>
                  </w:r>
                </w:p>
              </w:tc>
              <w:tc>
                <w:tcPr>
                  <w:tcW w:w="25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GPU ~25 h wall (one seed, both datasets)</w:t>
                  </w:r>
                </w:p>
              </w:tc>
              <w:tc>
                <w:tcPr>
                  <w:tcW w:w="8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With 2</w:t>
                  </w:r>
                </w:p>
              </w:tc>
            </w:tr>
            <w:tr>
              <w:trPr/>
              <w:tc>
                <w:tcPr>
                  <w:tcW w:w="36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5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Subject-level bootstrap and paired tests; sign test; Table 4 paired CD with effect size</w:t>
                  </w:r>
                </w:p>
              </w:tc>
              <w:tc>
                <w:tcPr>
                  <w:tcW w:w="11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1.2, 2.2</w:t>
                  </w:r>
                </w:p>
              </w:tc>
              <w:tc>
                <w:tcPr>
                  <w:tcW w:w="25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CPU</w:t>
                  </w:r>
                </w:p>
              </w:tc>
              <w:tc>
                <w:tcPr>
                  <w:tcW w:w="8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After 2</w:t>
                  </w:r>
                </w:p>
              </w:tc>
            </w:tr>
            <w:tr>
              <w:trPr/>
              <w:tc>
                <w:tcPr>
                  <w:tcW w:w="36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7</w:t>
                  </w:r>
                </w:p>
              </w:tc>
              <w:tc>
                <w:tcPr>
                  <w:tcW w:w="5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Recompute chance-corrected stage-1 statistics (+ bootstrap CIs) for all three Table 2 rows from the final stage-1 run</w:t>
                  </w:r>
                </w:p>
              </w:tc>
              <w:tc>
                <w:tcPr>
                  <w:tcW w:w="11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1.1, 2.2, 2.4</w:t>
                  </w:r>
                </w:p>
              </w:tc>
              <w:tc>
                <w:tcPr>
                  <w:tcW w:w="25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CPU minutes</w:t>
                  </w:r>
                </w:p>
              </w:tc>
              <w:tc>
                <w:tcPr>
                  <w:tcW w:w="8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Any time</w:t>
                  </w:r>
                </w:p>
              </w:tc>
            </w:tr>
            <w:tr>
              <w:trPr/>
              <w:tc>
                <w:tcPr>
                  <w:tcW w:w="36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8</w:t>
                  </w:r>
                </w:p>
              </w:tc>
              <w:tc>
                <w:tcPr>
                  <w:tcW w:w="5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Imbalance subsampling (ADNI at 68:32)</w:t>
                  </w:r>
                </w:p>
              </w:tc>
              <w:tc>
                <w:tcPr>
                  <w:tcW w:w="11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2.4</w:t>
                  </w:r>
                </w:p>
              </w:tc>
              <w:tc>
                <w:tcPr>
                  <w:tcW w:w="25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CPU minutes</w:t>
                  </w:r>
                </w:p>
              </w:tc>
              <w:tc>
                <w:tcPr>
                  <w:tcW w:w="8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Any time</w:t>
                  </w:r>
                </w:p>
              </w:tc>
            </w:tr>
            <w:tr>
              <w:trPr/>
              <w:tc>
                <w:tcPr>
                  <w:tcW w:w="36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9</w:t>
                  </w:r>
                </w:p>
              </w:tc>
              <w:tc>
                <w:tcPr>
                  <w:tcW w:w="5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k-means / Ward / spectral clustering; age-only and residualized-covariate clustering; cluster–sex cross-tabulation; ADNI covariate test</w:t>
                  </w:r>
                </w:p>
              </w:tc>
              <w:tc>
                <w:tcPr>
                  <w:tcW w:w="11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3.1, 3.2</w:t>
                  </w:r>
                </w:p>
              </w:tc>
              <w:tc>
                <w:tcPr>
                  <w:tcW w:w="25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CPU minutes</w:t>
                  </w:r>
                </w:p>
              </w:tc>
              <w:tc>
                <w:tcPr>
                  <w:tcW w:w="8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Any time</w:t>
                  </w:r>
                </w:p>
              </w:tc>
            </w:tr>
            <w:tr>
              <w:trPr/>
              <w:tc>
                <w:tcPr>
                  <w:tcW w:w="36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10</w:t>
                  </w:r>
                </w:p>
              </w:tc>
              <w:tc>
                <w:tcPr>
                  <w:tcW w:w="5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Traversal validation: volume over the age grid, age slope, independent classifier and regressor</w:t>
                  </w:r>
                </w:p>
              </w:tc>
              <w:tc>
                <w:tcPr>
                  <w:tcW w:w="11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1.6, 2.6</w:t>
                  </w:r>
                </w:p>
              </w:tc>
              <w:tc>
                <w:tcPr>
                  <w:tcW w:w="25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CPU ~hours</w:t>
                  </w:r>
                </w:p>
              </w:tc>
              <w:tc>
                <w:tcPr>
                  <w:tcW w:w="8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After 2</w:t>
                  </w:r>
                </w:p>
              </w:tc>
            </w:tr>
            <w:tr>
              <w:trPr/>
              <w:tc>
                <w:tcPr>
                  <w:tcW w:w="36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11</w:t>
                  </w:r>
                </w:p>
              </w:tc>
              <w:tc>
                <w:tcPr>
                  <w:tcW w:w="537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of subjects whose scans share one cluster</w:t>
                  </w:r>
                </w:p>
              </w:tc>
              <w:tc>
                <w:tcPr>
                  <w:tcW w:w="11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2.1</w:t>
                  </w:r>
                </w:p>
              </w:tc>
              <w:tc>
                <w:tcPr>
                  <w:tcW w:w="256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CPU seconds</w:t>
                  </w:r>
                </w:p>
              </w:tc>
              <w:tc>
                <w:tcPr>
                  <w:tcW w:w="82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Any time</w:t>
                  </w:r>
                </w:p>
              </w:tc>
            </w:tr>
          </w:tbl>
          <w:p>
            <w:pPr>
              <w:pStyle w:val="TableContents"/>
              <w:bidi w:val="0"/>
              <w:spacing w:before="0" w:after="283"/>
              <w:jc w:val="left"/>
              <w:rPr/>
            </w:pPr>
            <w:r>
              <w:rPr/>
              <w:t> </w:t>
            </w:r>
          </w:p>
          <w:p>
            <w:pPr>
              <w:pStyle w:val="TextBodysmall"/>
              <w:bidi w:val="0"/>
              <w:spacing w:before="0" w:after="283"/>
              <w:jc w:val="left"/>
              <w:rPr/>
            </w:pPr>
            <w:r>
              <w:rPr>
                <w:b/>
              </w:rPr>
              <w:t>GPU total ≈ 125 h wall (≈ 175 h if the β-VAE family uses the SDF loss), about 5–7 days on three GPUs.</w:t>
            </w:r>
            <w:r>
              <w:rPr/>
              <w:t xml:space="preserve"> Savings: three seeds for the β-VAE family; one seed for the ±50% sensitivity points.</w:t>
            </w:r>
          </w:p>
          <w:p>
            <w:pPr>
              <w:pStyle w:val="TableContents"/>
              <w:bidi w:val="0"/>
              <w:spacing w:before="0" w:after="283"/>
              <w:jc w:val="left"/>
              <w:rPr>
                <w:b/>
              </w:rPr>
            </w:pPr>
            <w:r>
              <w:rPr>
                <w:b/>
              </w:rPr>
              <w:t>B. Facts to verify against the final code before submitting</w:t>
            </w:r>
          </w:p>
          <w:p>
            <w:pPr>
              <w:pStyle w:val="TextBodysmall"/>
              <w:bidi w:val="0"/>
              <w:spacing w:before="0" w:after="283"/>
              <w:jc w:val="left"/>
              <w:rPr/>
            </w:pPr>
            <w:r>
              <w:rPr/>
              <w:t xml:space="preserve">• </w:t>
            </w:r>
            <w:r>
              <w:rPr/>
              <w:t>Stage-1 data: ADNI training partition only (696) or all 819 scans? OAI: 191 or 234 shapes?</w:t>
              <w:br/>
              <w:t>• Selection objective: evaluated on which subset; true-label or pseudo-label SAP; trial length (500 vs. 100 epochs); stage-1 search script exists?</w:t>
              <w:br/>
              <w:t>• Every loss term active in the final configs is in Eq. 5 (age SNNL, cross-covariance, match-std, correlation leakage).</w:t>
              <w:br/>
              <w:t>• Hyperparameter values printed in IV-B equal the final configs (λ_code, λ_snnl, λ_cov, λ_dis_sen, β, τ, λ_gmm).</w:t>
              <w:br/>
              <w:t>• Pseudo-label assignment: learned prior vs. EM refit; how clusters are named disease/healthy.</w:t>
              <w:br/>
              <w:t>• Mesh normalization is global (size-preserving); smoothing type; SDF uniform-sample region.</w:t>
              <w:br/>
              <w:t>• "Total volume" definition in Figures 3 and 6 and Table 2; age normalization range.</w:t>
              <w:br/>
              <w:t>• Splits stratified by sex and age as well as diagnosis?</w:t>
              <w:br/>
              <w:t>• Selection holdout drawn by subject, not scan; τ = 0.05 vs. the searched {0.15, 0.20}.</w:t>
              <w:br/>
              <w:t>• Disease SNNL temperature fixed (T = 10 in the current log) or adaptive; Eq. 7 and the "w/o adaptive T" ablation must match.</w:t>
              <w:br/>
              <w:t>• Every Table 3 row, OAI included, uses the final GMM stage-1 codes.</w:t>
              <w:br/>
              <w:t>• β-VAE family trained with or without the SDF loss (changes the compute).</w:t>
              <w:br/>
              <w:t>• Attribute-loss option supports two attributes.</w:t>
              <w:br/>
              <w:t>• Resolution: Section IV-A (1 mm) vs. Table 1 (~1.25 mm).</w:t>
              <w:br/>
              <w:t>• ADNI/OAI data use agreements allow releasing checkpoints and latent codes.</w:t>
            </w:r>
          </w:p>
          <w:p>
            <w:pPr>
              <w:pStyle w:val="TableContents"/>
              <w:bidi w:val="0"/>
              <w:spacing w:before="0" w:after="283"/>
              <w:jc w:val="left"/>
              <w:rPr>
                <w:b/>
              </w:rPr>
            </w:pPr>
            <w:r>
              <w:rPr>
                <w:b/>
              </w:rPr>
              <w:t>C. Include in the paper</w:t>
            </w:r>
          </w:p>
          <w:p>
            <w:pPr>
              <w:pStyle w:val="TextBodysmall"/>
              <w:bidi w:val="0"/>
              <w:spacing w:before="0" w:after="283"/>
              <w:jc w:val="left"/>
              <w:rPr/>
            </w:pPr>
            <w:r>
              <w:rPr/>
              <w:t>Extended Table 2 (majority baseline, balanced accuracy, κ, ARI, CIs) · Table 3 and Table 4 with ±, †, significance markers, the supervised row (and the Attri-VAE row if run), balanced accuracy for disease classification · Statistical analysis paragraph · Sensitivity table · Appendix A (preprocessing, sampling, GMM) · Appendix Table A1 (search space and objective) · Corrected split description and proportions · Measured volume statement replacing "~30%" · Traversal validation paragraph and table · Imbalance paragraph · Expanded limitations · Corrected equations and notation · d = 256, k = 8 · Repository URL and Code Availability statement · Supplementary: K-sweep, alternative clustering algorithms, covariate variants, imbalance subsampling.</w:t>
            </w:r>
          </w:p>
          <w:p>
            <w:pPr>
              <w:pStyle w:val="TableContents"/>
              <w:bidi w:val="0"/>
              <w:spacing w:before="0" w:after="283"/>
              <w:jc w:val="left"/>
              <w:rPr>
                <w:b/>
              </w:rPr>
            </w:pPr>
            <w:r>
              <w:rPr>
                <w:b/>
              </w:rPr>
              <w:t>D. Response letter only</w:t>
            </w:r>
          </w:p>
          <w:p>
            <w:pPr>
              <w:pStyle w:val="TextBodysmall"/>
              <w:bidi w:val="0"/>
              <w:spacing w:before="0" w:after="283"/>
              <w:jc w:val="left"/>
              <w:rPr/>
            </w:pPr>
            <w:r>
              <w:rPr/>
              <w:t>The explanations of why particular methods are not directly applicable (also one sentence in Section II) · The per-comment summaries of outcomes.</w:t>
            </w:r>
          </w:p>
          <w:p>
            <w:pPr>
              <w:pStyle w:val="TableContents"/>
              <w:bidi w:val="0"/>
              <w:spacing w:before="0" w:after="283"/>
              <w:jc w:val="left"/>
              <w:rPr>
                <w:b/>
              </w:rPr>
            </w:pPr>
            <w:r>
              <w:rPr>
                <w:b/>
              </w:rPr>
              <w:t>E. Leave out of both</w:t>
            </w:r>
          </w:p>
          <w:p>
            <w:pPr>
              <w:pStyle w:val="TextBodysmall"/>
              <w:bidi w:val="0"/>
              <w:spacing w:before="0" w:after="283"/>
              <w:jc w:val="left"/>
              <w:rPr/>
            </w:pPr>
            <w:r>
              <w:rPr/>
              <w:t>All forecast numbers from the planning pages · Any history of missing checkpoints or configuration drift — just regenerate and report · The exported-latents reproduction pitfall (README only) · Scan-level p-values for volume (use subject-level) · Any "near-supervised" wording for OAI · Any claim that an ablation "improves" a metric without a significant paired test · Equivalence wording ("indistinguishable") without a pre-specified margin · The "age dominates clustering" explanation.</w:t>
            </w:r>
          </w:p>
          <w:p>
            <w:pPr>
              <w:pStyle w:val="TableContents"/>
              <w:bidi w:val="0"/>
              <w:spacing w:before="0" w:after="283"/>
              <w:jc w:val="left"/>
              <w:rPr>
                <w:b/>
              </w:rPr>
            </w:pPr>
            <w:r>
              <w:rPr>
                <w:b/>
              </w:rPr>
              <w:t>F. Submission package (per the editor's letter)</w:t>
            </w:r>
          </w:p>
          <w:p>
            <w:pPr>
              <w:pStyle w:val="TextBodysmall"/>
              <w:bidi w:val="0"/>
              <w:spacing w:before="0" w:after="283"/>
              <w:jc w:val="left"/>
              <w:rPr/>
            </w:pPr>
            <w:r>
              <w:rPr/>
              <w:t>1) This response document, with all grey boxes, yellow and green highlights removed, uploaded under "Author's Response Files". 2) Highlighted PDF with every change in yellow, including grammatical ones. 3) Clean manuscript as LaTeX/Word plus PDF under "Main Manuscript". Complete the Resubmission Checklist. No author-list change is planned.</w:t>
            </w:r>
          </w:p>
        </w:tc>
      </w:tr>
    </w:tbl>
    <w:p>
      <w:pPr>
        <w:pStyle w:val="TextBody"/>
        <w:bidi w:val="0"/>
        <w:spacing w:lineRule="auto" w:line="276" w:before="0" w:after="120"/>
        <w:jc w:val="left"/>
        <w:rPr/>
      </w:pPr>
      <w:r>
        <w:rPr/>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CA"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Times;serif" w:hAnsi="Times New Roman;Times;serif" w:eastAsia="Times New Roman;Times;serif" w:cs="Times New Roman;Times;serif"/>
      <w:color w:val="auto"/>
      <w:sz w:val="22"/>
      <w:szCs w:val="22"/>
      <w:lang w:val="en-CA" w:eastAsia="zh-CN" w:bidi="hi-IN"/>
    </w:rPr>
  </w:style>
  <w:style w:type="paragraph" w:styleId="Heading1">
    <w:name w:val="Heading 1"/>
    <w:basedOn w:val="Heading"/>
    <w:next w:val="TextBody"/>
    <w:qFormat/>
    <w:pPr>
      <w:spacing w:before="240" w:after="120"/>
      <w:jc w:val="center"/>
      <w:outlineLvl w:val="0"/>
    </w:pPr>
    <w:rPr>
      <w:rFonts w:ascii="Liberation Serif" w:hAnsi="Liberation Serif" w:eastAsia="Noto Serif CJK SC" w:cs="Lohit Devanagari"/>
      <w:b/>
      <w:bCs/>
      <w:sz w:val="32"/>
      <w:szCs w:val="32"/>
    </w:rPr>
  </w:style>
  <w:style w:type="paragraph" w:styleId="Heading2">
    <w:name w:val="Heading 2"/>
    <w:basedOn w:val="Heading"/>
    <w:next w:val="TextBody"/>
    <w:qFormat/>
    <w:pPr>
      <w:pBdr>
        <w:bottom w:val="single" w:sz="2" w:space="1" w:color="444444"/>
      </w:pBdr>
      <w:spacing w:before="360" w:after="120"/>
      <w:ind w:left="360" w:right="360" w:hanging="0"/>
      <w:outlineLvl w:val="1"/>
    </w:pPr>
    <w:rPr>
      <w:rFonts w:ascii="Liberation Serif" w:hAnsi="Liberation Serif" w:eastAsia="Noto Serif CJK SC" w:cs="Lohit Devanagari"/>
      <w:b/>
      <w:bCs/>
      <w:sz w:val="26"/>
      <w:szCs w:val="26"/>
    </w:rPr>
  </w:style>
  <w:style w:type="paragraph" w:styleId="Heading3">
    <w:name w:val="Heading 3"/>
    <w:basedOn w:val="Heading"/>
    <w:next w:val="TextBody"/>
    <w:qFormat/>
    <w:pPr>
      <w:spacing w:before="240" w:after="80"/>
      <w:ind w:left="240" w:right="240" w:hanging="0"/>
      <w:outlineLvl w:val="2"/>
    </w:pPr>
    <w:rPr>
      <w:rFonts w:ascii="Liberation Serif" w:hAnsi="Liberation Serif" w:eastAsia="Noto Serif CJK SC" w:cs="Lohit Devanagari"/>
      <w:b/>
      <w:bCs/>
      <w:sz w:val="23"/>
      <w:szCs w:val="23"/>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z w:val="22"/>
      <w:szCs w:val="22"/>
    </w:rPr>
  </w:style>
  <w:style w:type="paragraph" w:styleId="TableHeading">
    <w:name w:val="Table Heading"/>
    <w:basedOn w:val="TableContents"/>
    <w:qFormat/>
    <w:pPr>
      <w:suppressLineNumbers/>
      <w:jc w:val="center"/>
    </w:pPr>
    <w:rPr>
      <w:b/>
      <w:bCs/>
    </w:rPr>
  </w:style>
  <w:style w:type="paragraph" w:styleId="TextBodysmall">
    <w:name w:val="Text Body.small"/>
    <w:basedOn w:val="TableContents"/>
    <w:qFormat/>
    <w:pPr/>
    <w:rPr>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cp:revision>0</cp:revision>
  <dc:subject/>
  <dc:title>Response to Reviewers - Access-2026-31159</dc:title>
</cp:coreProperties>
</file>

<file path=docProps/custom.xml><?xml version="1.0" encoding="utf-8"?>
<Properties xmlns="http://schemas.openxmlformats.org/officeDocument/2006/custom-properties" xmlns:vt="http://schemas.openxmlformats.org/officeDocument/2006/docPropsVTypes"/>
</file>