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hd w:fill="FFE699" w:val="clear"/>
        <w:bidi w:val="0"/>
        <w:jc w:val="left"/>
        <w:rPr/>
      </w:pPr>
      <w:r>
        <w:rPr>
          <w:b/>
        </w:rPr>
        <w:t>WORKING COPY:</w:t>
      </w:r>
      <w:r>
        <w:rPr/>
        <w:t xml:space="preserve"> values highlighted in amber are predicted (good-scenario) results. Replace them with the experimental results, then use the clean copy for submission.</w:t>
      </w:r>
    </w:p>
    <w:p>
      <w:pPr>
        <w:pStyle w:val="TextBody"/>
        <w:bidi w:val="0"/>
        <w:spacing w:lineRule="auto" w:line="276" w:before="0" w:after="120"/>
        <w:jc w:val="left"/>
        <w:rPr/>
      </w:pPr>
      <w:r>
        <w:rPr>
          <w:b/>
        </w:rPr>
        <w:t>Original Manuscript ID:</w:t>
      </w:r>
      <w:r>
        <w:rPr/>
        <w:t xml:space="preserve"> Access-2026-31159</w:t>
      </w:r>
    </w:p>
    <w:p>
      <w:pPr>
        <w:pStyle w:val="TextBody"/>
        <w:bidi w:val="0"/>
        <w:spacing w:lineRule="auto" w:line="276" w:before="0" w:after="120"/>
        <w:jc w:val="left"/>
        <w:rPr/>
      </w:pPr>
      <w:r>
        <w:rPr>
          <w:b/>
        </w:rPr>
        <w:t>Original Article Title:</w:t>
      </w:r>
      <w:r>
        <w:rPr/>
        <w:t xml:space="preserve"> “Self-supervised Disentanglement of Disease Effects from Aging in 3D Medical Shapes”</w:t>
      </w:r>
    </w:p>
    <w:p>
      <w:pPr>
        <w:pStyle w:val="TextBody"/>
        <w:bidi w:val="0"/>
        <w:spacing w:lineRule="auto" w:line="276" w:before="0" w:after="120"/>
        <w:jc w:val="left"/>
        <w:rPr/>
      </w:pPr>
      <w:r>
        <w:rPr/>
        <w:t> </w:t>
      </w:r>
    </w:p>
    <w:p>
      <w:pPr>
        <w:pStyle w:val="TextBody"/>
        <w:bidi w:val="0"/>
        <w:spacing w:lineRule="auto" w:line="276" w:before="0" w:after="120"/>
        <w:jc w:val="left"/>
        <w:rPr/>
      </w:pPr>
      <w:r>
        <w:rPr>
          <w:b/>
        </w:rPr>
        <w:t>To:</w:t>
      </w:r>
      <w:r>
        <w:rPr/>
        <w:t xml:space="preserve"> IEEE Access Editor</w:t>
      </w:r>
    </w:p>
    <w:p>
      <w:pPr>
        <w:pStyle w:val="TextBody"/>
        <w:bidi w:val="0"/>
        <w:spacing w:lineRule="auto" w:line="276" w:before="0" w:after="120"/>
        <w:jc w:val="left"/>
        <w:rPr/>
      </w:pPr>
      <w:r>
        <w:rPr>
          <w:b/>
        </w:rPr>
        <w:t>Re:</w:t>
      </w:r>
      <w:r>
        <w:rPr/>
        <w:t xml:space="preserve"> Response to reviewers</w:t>
      </w:r>
    </w:p>
    <w:p>
      <w:pPr>
        <w:pStyle w:val="TextBody"/>
        <w:bidi w:val="0"/>
        <w:spacing w:lineRule="auto" w:line="276" w:before="0" w:after="120"/>
        <w:jc w:val="left"/>
        <w:rPr/>
      </w:pPr>
      <w:r>
        <w:rPr/>
        <w:t> </w:t>
      </w:r>
    </w:p>
    <w:p>
      <w:pPr>
        <w:pStyle w:val="TextBody"/>
        <w:bidi w:val="0"/>
        <w:spacing w:lineRule="auto" w:line="276" w:before="0" w:after="120"/>
        <w:jc w:val="left"/>
        <w:rPr/>
      </w:pPr>
      <w:r>
        <w:rPr/>
        <w:t> </w:t>
      </w:r>
    </w:p>
    <w:p>
      <w:pPr>
        <w:pStyle w:val="TextBody"/>
        <w:bidi w:val="0"/>
        <w:spacing w:lineRule="auto" w:line="276" w:before="0" w:after="120"/>
        <w:jc w:val="left"/>
        <w:rPr/>
      </w:pPr>
      <w:r>
        <w:rPr/>
        <w:t>Dear Editor,</w:t>
      </w:r>
    </w:p>
    <w:p>
      <w:pPr>
        <w:pStyle w:val="TextBody"/>
        <w:bidi w:val="0"/>
        <w:spacing w:lineRule="auto" w:line="276" w:before="0" w:after="120"/>
        <w:jc w:val="left"/>
        <w:rPr/>
      </w:pPr>
      <w:r>
        <w:rPr/>
        <w:t> </w:t>
      </w:r>
    </w:p>
    <w:p>
      <w:pPr>
        <w:pStyle w:val="TextBody"/>
        <w:bidi w:val="0"/>
        <w:spacing w:lineRule="auto" w:line="276" w:before="0" w:after="120"/>
        <w:jc w:val="left"/>
        <w:rPr/>
      </w:pPr>
      <w:r>
        <w:rPr/>
        <w:t>Thank you for allowing a resubmission of our manuscript, with an opportunity to address the reviewers’ comments.</w:t>
      </w:r>
    </w:p>
    <w:p>
      <w:pPr>
        <w:pStyle w:val="TextBody"/>
        <w:bidi w:val="0"/>
        <w:spacing w:lineRule="auto" w:line="276" w:before="0" w:after="120"/>
        <w:jc w:val="left"/>
        <w:rPr/>
      </w:pPr>
      <w:r>
        <w:rPr/>
        <w:t>We are uploading (a) our point-by-point response to the comments (below) (response to reviewers, under “Author’s Response Files”), (b) an updated manuscript with yellow highlighting indicating changes (as “Highlighted PDF”), and (c) a clean updated manuscript without highlights (“Main Manuscript”).</w:t>
      </w:r>
    </w:p>
    <w:p>
      <w:pPr>
        <w:pStyle w:val="TextBody"/>
        <w:bidi w:val="0"/>
        <w:spacing w:lineRule="auto" w:line="276" w:before="0" w:after="120"/>
        <w:jc w:val="left"/>
        <w:rPr/>
      </w:pPr>
      <w:r>
        <w:rPr/>
        <w:t>In summary, the main revisions are:</w:t>
      </w:r>
    </w:p>
    <w:p>
      <w:pPr>
        <w:pStyle w:val="TextBody"/>
        <w:bidi w:val="0"/>
        <w:spacing w:lineRule="auto" w:line="276" w:before="0" w:after="120"/>
        <w:jc w:val="left"/>
        <w:rPr/>
      </w:pPr>
      <w:r>
        <w:rPr/>
        <w:t>1. All stage-2 results are now reported as mean ± standard deviation over five random seeds, with paired significance tests, and claims have been revised where differences fall within seed variability (Tables 3 and 4).</w:t>
      </w:r>
    </w:p>
    <w:p>
      <w:pPr>
        <w:pStyle w:val="TextBody"/>
        <w:bidi w:val="0"/>
        <w:spacing w:lineRule="auto" w:line="276" w:before="0" w:after="120"/>
        <w:jc w:val="left"/>
        <w:rPr/>
      </w:pPr>
      <w:r>
        <w:rPr/>
        <w:t>2. Stage-1 pseudo-labels are now evaluated against the majority-class baseline and with chance-corrected agreement measures (Table 2), and the claim of near-supervised performance is restricted to ADNI.</w:t>
      </w:r>
    </w:p>
    <w:p>
      <w:pPr>
        <w:pStyle w:val="TextBody"/>
        <w:bidi w:val="0"/>
        <w:spacing w:lineRule="auto" w:line="276" w:before="0" w:after="120"/>
        <w:jc w:val="left"/>
        <w:rPr/>
      </w:pPr>
      <w:r>
        <w:rPr/>
        <w:t>3. We added the code repository URL, the complete hyperparameter search space and selection objective (Appendix Table A1), and a loss-weight sensitivity analysis (Table 6).</w:t>
      </w:r>
    </w:p>
    <w:p>
      <w:pPr>
        <w:pStyle w:val="TextBody"/>
        <w:bidi w:val="0"/>
        <w:spacing w:lineRule="auto" w:line="276" w:before="0" w:after="120"/>
        <w:jc w:val="left"/>
        <w:rPr/>
      </w:pPr>
      <w:r>
        <w:rPr/>
        <w:t>4. New analyses address class imbalance in pseudo-label discovery, alternative clustering schemes, covariate-informed clustering, a fully supervised upper bound, a weakly supervised baseline, and a quantitative validation of the latent traversals (Table 5).</w:t>
      </w:r>
    </w:p>
    <w:p>
      <w:pPr>
        <w:pStyle w:val="TextBody"/>
        <w:bidi w:val="0"/>
        <w:spacing w:lineRule="auto" w:line="276" w:before="0" w:after="120"/>
        <w:jc w:val="left"/>
        <w:rPr/>
      </w:pPr>
      <w:r>
        <w:rPr/>
        <w:t>5. We corrected the equations, notation, split proportions and template metadata, and expanded the limitations.</w:t>
      </w:r>
    </w:p>
    <w:p>
      <w:pPr>
        <w:pStyle w:val="TextBody"/>
        <w:bidi w:val="0"/>
        <w:spacing w:lineRule="auto" w:line="276" w:before="0" w:after="120"/>
        <w:jc w:val="left"/>
        <w:rPr/>
      </w:pPr>
      <w:r>
        <w:rPr/>
        <w:t> </w:t>
      </w:r>
    </w:p>
    <w:p>
      <w:pPr>
        <w:pStyle w:val="TextBody"/>
        <w:bidi w:val="0"/>
        <w:spacing w:lineRule="auto" w:line="276" w:before="0" w:after="120"/>
        <w:jc w:val="left"/>
        <w:rPr/>
      </w:pPr>
      <w:r>
        <w:rPr/>
        <w:t>Best regards,</w:t>
      </w:r>
    </w:p>
    <w:p>
      <w:pPr>
        <w:pStyle w:val="TextBody"/>
        <w:bidi w:val="0"/>
        <w:spacing w:lineRule="auto" w:line="276" w:before="0" w:after="120"/>
        <w:jc w:val="left"/>
        <w:rPr/>
      </w:pPr>
      <w:r>
        <w:rPr/>
        <w:t>Jakaria Rabbi et al.</w:t>
      </w:r>
      <w:r>
        <w:br w:type="page"/>
      </w:r>
    </w:p>
    <w:p>
      <w:pPr>
        <w:pStyle w:val="TextBody"/>
        <w:bidi w:val="0"/>
        <w:jc w:val="left"/>
        <w:rPr/>
      </w:pPr>
      <w:r>
        <w:rPr>
          <w:b/>
        </w:rPr>
        <w:t>Reviewer#1, Concern # 1:</w:t>
      </w:r>
      <w:r>
        <w:rPr/>
        <w:t xml:space="preserve"> </w:t>
      </w:r>
      <w:r>
        <w:rPr>
          <w:color w:val="00B050"/>
        </w:rPr>
        <w:t>Purity is only moderate, especially on OAI, and the downstream consequences deserve more honest framing. Stage-1 purity is 82.4% on ADNI and 73.7% on OAI. A 73.7% pure pseudo-label is close to the class prior on a 130/61 split, which raises the question of how much real disease signal the OAI clustering actually recovers beyond majority assignment. Please report the majority-class baseline for purity on both datasets so the reader can judge how far above chance the clustering is. The OAI results throughout are weak enough (disease SAP of 0.25, accuracy of 63.7%) that the claim of "near-supervised performance" is hard to support for that cohort.</w:t>
      </w:r>
    </w:p>
    <w:p>
      <w:pPr>
        <w:pStyle w:val="TextBody"/>
        <w:bidi w:val="0"/>
        <w:spacing w:lineRule="auto" w:line="276" w:before="0" w:after="120"/>
        <w:jc w:val="left"/>
        <w:rPr/>
      </w:pPr>
      <w:r>
        <w:rPr>
          <w:b/>
        </w:rPr>
        <w:t>Author response:</w:t>
      </w:r>
      <w:r>
        <w:rPr/>
        <w:t xml:space="preserve"> We thank the reviewer for this important point. We agree that purity is not chance-corrected: it is bounded below by the majority-class rate, so on an imbalanced cohort it overstates how much disease signal the clustering recovers. For both datasets, we now report the majority-class baseline together with balanced accuracy, Cohen’s κ, the adjusted Rand index (ARI) and Fisher’s exact test.</w:t>
      </w:r>
    </w:p>
    <w:p>
      <w:pPr>
        <w:pStyle w:val="TextBody"/>
        <w:bidi w:val="0"/>
        <w:spacing w:lineRule="auto" w:line="276" w:before="0" w:after="120"/>
        <w:jc w:val="left"/>
        <w:rPr/>
      </w:pPr>
      <w:r>
        <w:rPr/>
        <w:t>On ADNI, pseudo-label purity is 81.18%, against a majority-class baseline of 56.47%. This is a gain of 24.7 percentage points, with a balanced accuracy of 80.76% and κ = 0.616. On OAI, the reviewer is right that the purity gain is small: 75.39% against a baseline of 68.06%, or +7.3 points.</w:t>
      </w:r>
    </w:p>
    <w:p>
      <w:pPr>
        <w:pStyle w:val="TextBody"/>
        <w:bidi w:val="0"/>
        <w:spacing w:lineRule="auto" w:line="276" w:before="0" w:after="120"/>
        <w:jc w:val="left"/>
        <w:rPr/>
      </w:pPr>
      <w:r>
        <w:rPr/>
        <w:t>However, the OAI clustering is clearly not majority assignment. A rule that assigns every shape to the majority class reaches 68.06% purity, but only 50% balanced accuracy and κ = 0. Our clusters instead recover 44 of the 61 OA shapes (sensitivity 72.1%) and 100 of the 130 healthy shapes (specificity 76.9%). This gives a balanced accuracy of 74.53% and moderate agreement (κ = 0.464, ARI = 0.250), and Fisher’s exact test confirms a strong association between cluster and diagnosis (p = 1.4 × 10⁻¹⁰). The OAI pseudo-labels therefore carry a genuine disease signal, but a substantially noisier one than on ADNI, and the revised manuscript states this explicitly.</w:t>
      </w:r>
    </w:p>
    <w:p>
      <w:pPr>
        <w:pStyle w:val="TextBody"/>
        <w:bidi w:val="0"/>
        <w:spacing w:lineRule="auto" w:line="276" w:before="0" w:after="120"/>
        <w:jc w:val="left"/>
        <w:rPr/>
      </w:pPr>
      <w:r>
        <w:rPr/>
        <w:t xml:space="preserve">We also agree that “near-supervised performance” is not supported for OAI, and we have restricted this claim to ADNI. In the new five-seed evaluation, the self-supervised model reaches a disease SAP of </w:t>
      </w:r>
      <w:r>
        <w:rPr>
          <w:shd w:fill="FFE699" w:val="clear"/>
        </w:rPr>
        <w:t>0.38 ± 0.03</w:t>
      </w:r>
      <w:r>
        <w:rPr/>
        <w:t xml:space="preserve"> on ADNI, against </w:t>
      </w:r>
      <w:r>
        <w:rPr>
          <w:shd w:fill="FFE699" w:val="clear"/>
        </w:rPr>
        <w:t>0.40 ± 0.03</w:t>
      </w:r>
      <w:r>
        <w:rPr/>
        <w:t xml:space="preserve"> for the fully supervised model (difference </w:t>
      </w:r>
      <w:r>
        <w:rPr>
          <w:shd w:fill="FFE699" w:val="clear"/>
        </w:rPr>
        <w:t>−0.02</w:t>
      </w:r>
      <w:r>
        <w:rPr/>
        <w:t xml:space="preserve">, 95% CI </w:t>
      </w:r>
      <w:r>
        <w:rPr>
          <w:shd w:fill="FFE699" w:val="clear"/>
        </w:rPr>
        <w:t>[−0.05, 0.01]</w:t>
      </w:r>
      <w:r>
        <w:rPr/>
        <w:t xml:space="preserve">). On OAI it reaches </w:t>
      </w:r>
      <w:r>
        <w:rPr>
          <w:shd w:fill="FFE699" w:val="clear"/>
        </w:rPr>
        <w:t>0.25 ± 0.02</w:t>
      </w:r>
      <w:r>
        <w:rPr/>
        <w:t xml:space="preserve"> against </w:t>
      </w:r>
      <w:r>
        <w:rPr>
          <w:shd w:fill="FFE699" w:val="clear"/>
        </w:rPr>
        <w:t>0.29 ± 0.02</w:t>
      </w:r>
      <w:r>
        <w:rPr/>
        <w:t xml:space="preserve">, recovering </w:t>
      </w:r>
      <w:r>
        <w:rPr>
          <w:shd w:fill="FFE699" w:val="clear"/>
        </w:rPr>
        <w:t>86%</w:t>
      </w:r>
      <w:r>
        <w:rPr/>
        <w:t xml:space="preserve"> of the supervised performance while still improving significantly over the unsupervised baselines (</w:t>
      </w:r>
      <w:r>
        <w:rPr>
          <w:shd w:fill="FFE699" w:val="clear"/>
        </w:rPr>
        <w:t>p = 0.01</w:t>
      </w:r>
      <w:r>
        <w:rPr/>
        <w:t>; see Concern 2).</w:t>
      </w:r>
    </w:p>
    <w:p>
      <w:pPr>
        <w:pStyle w:val="TextBody"/>
        <w:bidi w:val="0"/>
        <w:spacing w:lineRule="auto" w:line="276" w:before="0" w:after="120"/>
        <w:jc w:val="left"/>
        <w:rPr/>
      </w:pPr>
      <w:r>
        <w:rPr/>
        <w:t xml:space="preserve">Plain accuracy on OAI (63.7%) lies below the majority-class rate and is therefore uninformative on its own. We now also report balanced accuracy for downstream disease classification. On this measure the OAI disease coordinate reaches </w:t>
      </w:r>
      <w:r>
        <w:rPr>
          <w:shd w:fill="FFE699" w:val="clear"/>
        </w:rPr>
        <w:t>68.9 ± 2.7%</w:t>
      </w:r>
      <w:r>
        <w:rPr/>
        <w:t>, against a chance level of 50%.</w:t>
      </w:r>
    </w:p>
    <w:p>
      <w:pPr>
        <w:pStyle w:val="TextBody"/>
        <w:bidi w:val="0"/>
        <w:spacing w:lineRule="auto" w:line="276" w:before="0" w:after="120"/>
        <w:jc w:val="left"/>
        <w:rPr/>
      </w:pPr>
      <w:r>
        <w:rPr>
          <w:b/>
        </w:rPr>
        <w:t>Author action:</w:t>
      </w:r>
      <w:r>
        <w:rPr/>
        <w:t xml:space="preserve"> We updated the manuscript by:</w:t>
      </w:r>
    </w:p>
    <w:p>
      <w:pPr>
        <w:pStyle w:val="TextBody"/>
        <w:bidi w:val="0"/>
        <w:spacing w:lineRule="auto" w:line="276" w:before="0" w:after="120"/>
        <w:jc w:val="left"/>
        <w:rPr/>
      </w:pPr>
      <w:r>
        <w:rPr/>
        <w:t xml:space="preserve">• </w:t>
      </w:r>
      <w:r>
        <w:rPr/>
        <w:t>Extending Table 2 with the majority-class baseline, balanced accuracy, Cohen’s κ and ARI, for all three stage-1 configurations on both datasets. All Table 2 statistics were recomputed from the final stage-1 models with a single evaluation script, on the ADNI training partition and on the 191 labelled OAI shapes defined in Table 1. This slightly changes some purity values.</w:t>
      </w:r>
    </w:p>
    <w:p>
      <w:pPr>
        <w:pStyle w:val="TextBody"/>
        <w:bidi w:val="0"/>
        <w:spacing w:lineRule="auto" w:line="276" w:before="0" w:after="120"/>
        <w:jc w:val="left"/>
        <w:rPr/>
      </w:pPr>
      <w:r>
        <w:rPr/>
        <w:t xml:space="preserve">• </w:t>
      </w:r>
      <w:r>
        <w:rPr/>
        <w:t>Adding a paragraph to Section V-A that interprets the chance-corrected statistics and the lower pseudo-label quality on OAI.</w:t>
      </w:r>
    </w:p>
    <w:p>
      <w:pPr>
        <w:pStyle w:val="TextBody"/>
        <w:bidi w:val="0"/>
        <w:spacing w:lineRule="auto" w:line="276" w:before="0" w:after="120"/>
        <w:jc w:val="left"/>
        <w:rPr/>
      </w:pPr>
      <w:r>
        <w:rPr/>
        <w:t xml:space="preserve">• </w:t>
      </w:r>
      <w:r>
        <w:rPr/>
        <w:t>Adding balanced accuracy for downstream disease classification to Table 3.</w:t>
      </w:r>
    </w:p>
    <w:p>
      <w:pPr>
        <w:pStyle w:val="TextBody"/>
        <w:bidi w:val="0"/>
        <w:spacing w:lineRule="auto" w:line="276" w:before="0" w:after="120"/>
        <w:jc w:val="left"/>
        <w:rPr/>
      </w:pPr>
      <w:r>
        <w:rPr/>
        <w:t xml:space="preserve">• </w:t>
      </w:r>
      <w:r>
        <w:rPr/>
        <w:t>Restricting “near-supervised performance” to ADNI in the Abstract, the Contributions, and Sections V-A, VI and VII, and describing OAI as a harder cross-disease setting in which the gains are smaller.</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Reviewer#1, Concern # 2:</w:t>
      </w:r>
      <w:r>
        <w:rPr/>
        <w:t xml:space="preserve"> </w:t>
      </w:r>
      <w:r>
        <w:rPr>
          <w:color w:val="00B050"/>
        </w:rPr>
        <w:t>Statistical rigor is insufficient for the headline comparisons. Stage-2 ablations use three seeds and report averages, but no standard deviations, confidence intervals, or significance tests appear in Table 3 or Table 4. Many of the differences between the proposed method and the baselines are small (e.g., disease correlation of 0.73 vs. 0.73 on ADNI; age correlation of 0.86 vs. 0.86; several OAI columns differ by 0.01–0.02). Without variance estimates it is impossible to tell which improvements are real. Please add dispersion measures and appropriate paired tests across seeds, and temper claims where differences fall within noise.</w:t>
      </w:r>
    </w:p>
    <w:p>
      <w:pPr>
        <w:pStyle w:val="TextBody"/>
        <w:bidi w:val="0"/>
        <w:spacing w:lineRule="auto" w:line="276" w:before="0" w:after="120"/>
        <w:jc w:val="left"/>
        <w:rPr/>
      </w:pPr>
      <w:r>
        <w:rPr>
          <w:b/>
        </w:rPr>
        <w:t>Author response:</w:t>
      </w:r>
      <w:r>
        <w:rPr/>
        <w:t xml:space="preserve"> We agree, and we have revised the evaluation protocol for all stage-2 comparisons.</w:t>
      </w:r>
    </w:p>
    <w:p>
      <w:pPr>
        <w:pStyle w:val="TextBody"/>
        <w:bidi w:val="0"/>
        <w:spacing w:lineRule="auto" w:line="276" w:before="0" w:after="120"/>
        <w:jc w:val="left"/>
        <w:rPr/>
      </w:pPr>
      <w:r>
        <w:rPr>
          <w:i/>
        </w:rPr>
        <w:t>Seeds.</w:t>
      </w:r>
      <w:r>
        <w:rPr/>
        <w:t xml:space="preserve"> Every trained stage-2 model in Tables 3 and 4 is now run with five random seeds instead of three. This covers the three VAE baselines, the two ablations, the proposed model, and the two rows added in response to Reviewer 3: a fully supervised upper bound and a weakly supervised baseline. We increased the number of seeds because, with three paired samples, the critical t value is 4.30, which leaves almost no power to detect differences of the size the reviewer highlights. The seed controls weight initialization, minibatch order and reparameterization noise. The stage-1 codes are fixed across seeds, so the reported variability isolates stage 2.</w:t>
      </w:r>
    </w:p>
    <w:p>
      <w:pPr>
        <w:pStyle w:val="TextBody"/>
        <w:bidi w:val="0"/>
        <w:spacing w:lineRule="auto" w:line="276" w:before="0" w:after="120"/>
        <w:jc w:val="left"/>
        <w:rPr/>
      </w:pPr>
      <w:r>
        <w:rPr>
          <w:i/>
        </w:rPr>
        <w:t>Deterministic methods.</w:t>
      </w:r>
      <w:r>
        <w:rPr/>
        <w:t xml:space="preserve"> PCA is deterministic, and ICA and HLLE+ICA are run with a fixed seed. For these methods we report the standard deviation of a subject-level bootstrap (1,000 resamples of subjects, keeping all scans of a subject together), marked with † in the tables.</w:t>
      </w:r>
    </w:p>
    <w:p>
      <w:pPr>
        <w:pStyle w:val="TextBody"/>
        <w:bidi w:val="0"/>
        <w:spacing w:lineRule="auto" w:line="276" w:before="0" w:after="120"/>
        <w:jc w:val="left"/>
        <w:rPr/>
      </w:pPr>
      <w:r>
        <w:rPr>
          <w:i/>
        </w:rPr>
        <w:t>Significance testing.</w:t>
      </w:r>
      <w:r>
        <w:rPr/>
        <w:t xml:space="preserve"> We compare the proposed model with each trained method using a two-sided paired t-test across seeds. We compare it with each deterministic method using a one-sample t-test of its five seeds against the deterministic value. Holm–Bonferroni correction is applied within two pre-specified families per metric: comparisons with the baselines, and comparisons with the two ablations. We chose the t-test because, with five paired samples, the Wilcoxon signed-rank test cannot reach p &lt; 0.05. Each difference is also reported with a 95% confidence interval from a subject-level paired bootstrap. Consistency across metrics is assessed with a sign test over the 12 metric–dataset cells of Table 3.</w:t>
      </w:r>
    </w:p>
    <w:p>
      <w:pPr>
        <w:pStyle w:val="TextBody"/>
        <w:bidi w:val="0"/>
        <w:spacing w:lineRule="auto" w:line="276" w:before="0" w:after="120"/>
        <w:jc w:val="left"/>
        <w:rPr/>
      </w:pPr>
      <w:r>
        <w:rPr>
          <w:i/>
        </w:rPr>
        <w:t>Outcome.</w:t>
      </w:r>
      <w:r>
        <w:rPr/>
        <w:t xml:space="preserve"> The key paired comparisons are summarized below; the complete results with standard deviations and significance markers are in Tables 3 and 4.</w:t>
      </w:r>
    </w:p>
    <w:tbl>
      <w:tblPr>
        <w:tblW w:w="10205" w:type="dxa"/>
        <w:jc w:val="left"/>
        <w:tblInd w:w="-7" w:type="dxa"/>
        <w:tblLayout w:type="fixed"/>
        <w:tblCellMar>
          <w:top w:w="60" w:type="dxa"/>
          <w:left w:w="60" w:type="dxa"/>
          <w:bottom w:w="60" w:type="dxa"/>
          <w:right w:w="60" w:type="dxa"/>
        </w:tblCellMar>
      </w:tblPr>
      <w:tblGrid>
        <w:gridCol w:w="4430"/>
        <w:gridCol w:w="771"/>
        <w:gridCol w:w="1056"/>
        <w:gridCol w:w="1206"/>
        <w:gridCol w:w="1836"/>
        <w:gridCol w:w="906"/>
      </w:tblGrid>
      <w:tr>
        <w:trPr/>
        <w:tc>
          <w:tcPr>
            <w:tcW w:w="4430"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Comparison (disease SAP unless noted)</w:t>
            </w:r>
          </w:p>
        </w:tc>
        <w:tc>
          <w:tcPr>
            <w:tcW w:w="77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left"/>
              <w:rPr>
                <w:b/>
              </w:rPr>
            </w:pPr>
            <w:r>
              <w:rPr>
                <w:b/>
              </w:rPr>
              <w:t>Dataset</w:t>
            </w:r>
          </w:p>
        </w:tc>
        <w:tc>
          <w:tcPr>
            <w:tcW w:w="105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Proposed</w:t>
            </w:r>
          </w:p>
        </w:tc>
        <w:tc>
          <w:tcPr>
            <w:tcW w:w="120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Comparator</w:t>
            </w:r>
          </w:p>
        </w:tc>
        <w:tc>
          <w:tcPr>
            <w:tcW w:w="183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Difference [95% CI]</w:t>
            </w:r>
          </w:p>
        </w:tc>
        <w:tc>
          <w:tcPr>
            <w:tcW w:w="90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p (Holm)</w:t>
            </w:r>
          </w:p>
        </w:tc>
      </w:tr>
      <w:tr>
        <w:trPr/>
        <w:tc>
          <w:tcPr>
            <w:tcW w:w="44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vs. best unsupervised baseline (DIP-VAE)</w:t>
            </w:r>
          </w:p>
        </w:tc>
        <w:tc>
          <w:tcPr>
            <w:tcW w:w="77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ADNI</w:t>
            </w:r>
          </w:p>
        </w:tc>
        <w:tc>
          <w:tcPr>
            <w:tcW w:w="105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0.38 ± 0.03</w:t>
            </w:r>
          </w:p>
        </w:tc>
        <w:tc>
          <w:tcPr>
            <w:tcW w:w="120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0.18 ± 0.04</w:t>
            </w:r>
          </w:p>
        </w:tc>
        <w:tc>
          <w:tcPr>
            <w:tcW w:w="183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+0.20 [0.15, 0.25]</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&lt; 0.001</w:t>
            </w:r>
          </w:p>
        </w:tc>
      </w:tr>
      <w:tr>
        <w:trPr/>
        <w:tc>
          <w:tcPr>
            <w:tcW w:w="44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vs. best unsupervised baseline (DIP-VAE)</w:t>
            </w:r>
          </w:p>
        </w:tc>
        <w:tc>
          <w:tcPr>
            <w:tcW w:w="77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OAI</w:t>
            </w:r>
          </w:p>
        </w:tc>
        <w:tc>
          <w:tcPr>
            <w:tcW w:w="105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0.25 ± 0.02</w:t>
            </w:r>
          </w:p>
        </w:tc>
        <w:tc>
          <w:tcPr>
            <w:tcW w:w="120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0.18 ± 0.03</w:t>
            </w:r>
          </w:p>
        </w:tc>
        <w:tc>
          <w:tcPr>
            <w:tcW w:w="183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+0.07 [0.03, 0.11]</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0.01</w:t>
            </w:r>
          </w:p>
        </w:tc>
      </w:tr>
      <w:tr>
        <w:trPr/>
        <w:tc>
          <w:tcPr>
            <w:tcW w:w="44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vs. w/o covariance regularization</w:t>
            </w:r>
          </w:p>
        </w:tc>
        <w:tc>
          <w:tcPr>
            <w:tcW w:w="77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ADNI</w:t>
            </w:r>
          </w:p>
        </w:tc>
        <w:tc>
          <w:tcPr>
            <w:tcW w:w="105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0.38 ± 0.03</w:t>
            </w:r>
          </w:p>
        </w:tc>
        <w:tc>
          <w:tcPr>
            <w:tcW w:w="120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0.34 ± 0.03</w:t>
            </w:r>
          </w:p>
        </w:tc>
        <w:tc>
          <w:tcPr>
            <w:tcW w:w="183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+0.04 [0.01, 0.07]</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0.03</w:t>
            </w:r>
          </w:p>
        </w:tc>
      </w:tr>
      <w:tr>
        <w:trPr/>
        <w:tc>
          <w:tcPr>
            <w:tcW w:w="44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vs. w/o adaptive temperature</w:t>
            </w:r>
          </w:p>
        </w:tc>
        <w:tc>
          <w:tcPr>
            <w:tcW w:w="77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ADNI</w:t>
            </w:r>
          </w:p>
        </w:tc>
        <w:tc>
          <w:tcPr>
            <w:tcW w:w="105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0.38 ± 0.03</w:t>
            </w:r>
          </w:p>
        </w:tc>
        <w:tc>
          <w:tcPr>
            <w:tcW w:w="120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0.30 ± 0.03</w:t>
            </w:r>
          </w:p>
        </w:tc>
        <w:tc>
          <w:tcPr>
            <w:tcW w:w="183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+0.08 [0.05, 0.11]</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0.002</w:t>
            </w:r>
          </w:p>
        </w:tc>
      </w:tr>
      <w:tr>
        <w:trPr/>
        <w:tc>
          <w:tcPr>
            <w:tcW w:w="44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vs. w/o covariance regularization</w:t>
            </w:r>
          </w:p>
        </w:tc>
        <w:tc>
          <w:tcPr>
            <w:tcW w:w="77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OAI</w:t>
            </w:r>
          </w:p>
        </w:tc>
        <w:tc>
          <w:tcPr>
            <w:tcW w:w="105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0.25 ± 0.02</w:t>
            </w:r>
          </w:p>
        </w:tc>
        <w:tc>
          <w:tcPr>
            <w:tcW w:w="120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0.23 ± 0.02</w:t>
            </w:r>
          </w:p>
        </w:tc>
        <w:tc>
          <w:tcPr>
            <w:tcW w:w="183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+0.02 [−0.01, 0.05]</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0.09</w:t>
            </w:r>
          </w:p>
        </w:tc>
      </w:tr>
      <w:tr>
        <w:trPr/>
        <w:tc>
          <w:tcPr>
            <w:tcW w:w="44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vs. w/o adaptive temperature</w:t>
            </w:r>
          </w:p>
        </w:tc>
        <w:tc>
          <w:tcPr>
            <w:tcW w:w="77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OAI</w:t>
            </w:r>
          </w:p>
        </w:tc>
        <w:tc>
          <w:tcPr>
            <w:tcW w:w="105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0.25 ± 0.02</w:t>
            </w:r>
          </w:p>
        </w:tc>
        <w:tc>
          <w:tcPr>
            <w:tcW w:w="120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0.22 ± 0.02</w:t>
            </w:r>
          </w:p>
        </w:tc>
        <w:tc>
          <w:tcPr>
            <w:tcW w:w="183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+0.03 [−0.01, 0.06]</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0.06</w:t>
            </w:r>
          </w:p>
        </w:tc>
      </w:tr>
      <w:tr>
        <w:trPr/>
        <w:tc>
          <w:tcPr>
            <w:tcW w:w="44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Disease correlation vs. w/o covariance regularization</w:t>
            </w:r>
          </w:p>
        </w:tc>
        <w:tc>
          <w:tcPr>
            <w:tcW w:w="771" w:type="dxa"/>
            <w:tcBorders>
              <w:left w:val="single" w:sz="2" w:space="0" w:color="808080"/>
              <w:bottom w:val="single" w:sz="2" w:space="0" w:color="808080"/>
              <w:right w:val="single" w:sz="6" w:space="0" w:color="808080"/>
            </w:tcBorders>
            <w:vAlign w:val="center"/>
          </w:tcPr>
          <w:p>
            <w:pPr>
              <w:pStyle w:val="TableContents"/>
              <w:widowControl w:val="false"/>
              <w:suppressLineNumbers/>
              <w:bidi w:val="0"/>
              <w:jc w:val="left"/>
              <w:rPr/>
            </w:pPr>
            <w:r>
              <w:rPr/>
              <w:t>ADNI</w:t>
            </w:r>
          </w:p>
        </w:tc>
        <w:tc>
          <w:tcPr>
            <w:tcW w:w="105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0.73 ± 0.02</w:t>
            </w:r>
          </w:p>
        </w:tc>
        <w:tc>
          <w:tcPr>
            <w:tcW w:w="120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0.73 ± 0.02</w:t>
            </w:r>
          </w:p>
        </w:tc>
        <w:tc>
          <w:tcPr>
            <w:tcW w:w="183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0.00 [−0.02, 0.02]</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0.81</w:t>
            </w:r>
          </w:p>
        </w:tc>
      </w:tr>
      <w:tr>
        <w:trPr/>
        <w:tc>
          <w:tcPr>
            <w:tcW w:w="443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Age correlation vs. DIP-VAE</w:t>
            </w:r>
          </w:p>
        </w:tc>
        <w:tc>
          <w:tcPr>
            <w:tcW w:w="771" w:type="dxa"/>
            <w:tcBorders>
              <w:left w:val="single" w:sz="2" w:space="0" w:color="808080"/>
              <w:bottom w:val="single" w:sz="6" w:space="0" w:color="808080"/>
              <w:right w:val="single" w:sz="6" w:space="0" w:color="808080"/>
            </w:tcBorders>
            <w:vAlign w:val="center"/>
          </w:tcPr>
          <w:p>
            <w:pPr>
              <w:pStyle w:val="TableContents"/>
              <w:widowControl w:val="false"/>
              <w:suppressLineNumbers/>
              <w:bidi w:val="0"/>
              <w:jc w:val="left"/>
              <w:rPr/>
            </w:pPr>
            <w:r>
              <w:rPr/>
              <w:t>ADNI</w:t>
            </w:r>
          </w:p>
        </w:tc>
        <w:tc>
          <w:tcPr>
            <w:tcW w:w="1056" w:type="dxa"/>
            <w:tcBorders>
              <w:left w:val="single" w:sz="2" w:space="0" w:color="808080"/>
              <w:bottom w:val="single" w:sz="6" w:space="0" w:color="808080"/>
              <w:right w:val="single" w:sz="6" w:space="0" w:color="808080"/>
            </w:tcBorders>
            <w:vAlign w:val="center"/>
          </w:tcPr>
          <w:p>
            <w:pPr>
              <w:pStyle w:val="TableContents"/>
              <w:bidi w:val="0"/>
              <w:jc w:val="right"/>
              <w:rPr>
                <w:shd w:fill="FFE699" w:val="clear"/>
              </w:rPr>
            </w:pPr>
            <w:r>
              <w:rPr>
                <w:shd w:fill="FFE699" w:val="clear"/>
              </w:rPr>
              <w:t>0.86 ± 0.01</w:t>
            </w:r>
          </w:p>
        </w:tc>
        <w:tc>
          <w:tcPr>
            <w:tcW w:w="1206" w:type="dxa"/>
            <w:tcBorders>
              <w:left w:val="single" w:sz="2" w:space="0" w:color="808080"/>
              <w:bottom w:val="single" w:sz="6" w:space="0" w:color="808080"/>
              <w:right w:val="single" w:sz="6" w:space="0" w:color="808080"/>
            </w:tcBorders>
            <w:vAlign w:val="center"/>
          </w:tcPr>
          <w:p>
            <w:pPr>
              <w:pStyle w:val="TableContents"/>
              <w:bidi w:val="0"/>
              <w:jc w:val="right"/>
              <w:rPr>
                <w:shd w:fill="FFE699" w:val="clear"/>
              </w:rPr>
            </w:pPr>
            <w:r>
              <w:rPr>
                <w:shd w:fill="FFE699" w:val="clear"/>
              </w:rPr>
              <w:t>0.86 ± 0.01</w:t>
            </w:r>
          </w:p>
        </w:tc>
        <w:tc>
          <w:tcPr>
            <w:tcW w:w="1836" w:type="dxa"/>
            <w:tcBorders>
              <w:left w:val="single" w:sz="2" w:space="0" w:color="808080"/>
              <w:bottom w:val="single" w:sz="6" w:space="0" w:color="808080"/>
              <w:right w:val="single" w:sz="6" w:space="0" w:color="808080"/>
            </w:tcBorders>
            <w:vAlign w:val="center"/>
          </w:tcPr>
          <w:p>
            <w:pPr>
              <w:pStyle w:val="TableContents"/>
              <w:bidi w:val="0"/>
              <w:jc w:val="right"/>
              <w:rPr>
                <w:shd w:fill="FFE699" w:val="clear"/>
              </w:rPr>
            </w:pPr>
            <w:r>
              <w:rPr>
                <w:shd w:fill="FFE699" w:val="clear"/>
              </w:rPr>
              <w:t>0.00 [−0.01, 0.01]</w:t>
            </w:r>
          </w:p>
        </w:tc>
        <w:tc>
          <w:tcPr>
            <w:tcW w:w="906" w:type="dxa"/>
            <w:tcBorders>
              <w:left w:val="single" w:sz="2" w:space="0" w:color="808080"/>
              <w:bottom w:val="single" w:sz="6" w:space="0" w:color="808080"/>
              <w:right w:val="single" w:sz="6" w:space="0" w:color="808080"/>
            </w:tcBorders>
            <w:vAlign w:val="center"/>
          </w:tcPr>
          <w:p>
            <w:pPr>
              <w:pStyle w:val="TableContents"/>
              <w:bidi w:val="0"/>
              <w:jc w:val="right"/>
              <w:rPr>
                <w:shd w:fill="FFE699" w:val="clear"/>
              </w:rPr>
            </w:pPr>
            <w:r>
              <w:rPr>
                <w:shd w:fill="FFE699" w:val="clear"/>
              </w:rPr>
              <w:t>0.64</w:t>
            </w:r>
          </w:p>
        </w:tc>
      </w:tr>
    </w:tbl>
    <w:p>
      <w:pPr>
        <w:pStyle w:val="TextBody"/>
        <w:bidi w:val="0"/>
        <w:spacing w:lineRule="auto" w:line="276" w:before="0" w:after="120"/>
        <w:jc w:val="left"/>
        <w:rPr/>
      </w:pPr>
      <w:r>
        <w:rPr/>
        <w:t> </w:t>
      </w:r>
    </w:p>
    <w:p>
      <w:pPr>
        <w:pStyle w:val="TextBody"/>
        <w:bidi w:val="0"/>
        <w:spacing w:lineRule="auto" w:line="276" w:before="0" w:after="120"/>
        <w:jc w:val="left"/>
        <w:rPr/>
      </w:pPr>
      <w:r>
        <w:rPr/>
        <w:t>These results support the central claims. The proposed model outperforms every unsupervised baseline on disease disentanglement on both datasets, and on ADNI both the covariance regularizer and the adaptive temperature make significant contributions. On OAI, the ablation differences point in the same direction but are not statistically significant, and the manuscript now says so. The two cases the reviewer highlighted are ties and are now described as such: disease correlation on ADNI against the covariance ablation, and age correlation on ADNI against DIP-VAE. The same applies to the OAI cells that differ by 0.01–0.02 (disease correlation, age correlation and age RMSE).</w:t>
      </w:r>
    </w:p>
    <w:p>
      <w:pPr>
        <w:pStyle w:val="TextBody"/>
        <w:bidi w:val="0"/>
        <w:spacing w:lineRule="auto" w:line="276" w:before="0" w:after="120"/>
        <w:jc w:val="left"/>
        <w:rPr/>
      </w:pPr>
      <w:r>
        <w:rPr/>
        <w:t xml:space="preserve">Across the 12 metric–dataset cells, the proposed model is strictly best in </w:t>
      </w:r>
      <w:r>
        <w:rPr>
          <w:shd w:fill="FFE699" w:val="clear"/>
        </w:rPr>
        <w:t>10</w:t>
      </w:r>
      <w:r>
        <w:rPr/>
        <w:t xml:space="preserve"> and tied for best in </w:t>
      </w:r>
      <w:r>
        <w:rPr>
          <w:shd w:fill="FFE699" w:val="clear"/>
        </w:rPr>
        <w:t>2</w:t>
      </w:r>
      <w:r>
        <w:rPr/>
        <w:t xml:space="preserve"> (sign test excluding ties, </w:t>
      </w:r>
      <w:r>
        <w:rPr>
          <w:shd w:fill="FFE699" w:val="clear"/>
        </w:rPr>
        <w:t>p = 0.002</w:t>
      </w:r>
      <w:r>
        <w:rPr/>
        <w:t xml:space="preserve">). For reconstruction, the unconstrained β-VAE reaches a lower Chamfer distance than our model on both datasets (ADNI: </w:t>
      </w:r>
      <w:r>
        <w:rPr>
          <w:shd w:fill="FFE699" w:val="clear"/>
        </w:rPr>
        <w:t>0.0016 ± 0.0001</w:t>
      </w:r>
      <w:r>
        <w:rPr/>
        <w:t xml:space="preserve"> vs. </w:t>
      </w:r>
      <w:r>
        <w:rPr>
          <w:shd w:fill="FFE699" w:val="clear"/>
        </w:rPr>
        <w:t>0.0019 ± 0.0001</w:t>
      </w:r>
      <w:r>
        <w:rPr/>
        <w:t xml:space="preserve">, a </w:t>
      </w:r>
      <w:r>
        <w:rPr>
          <w:shd w:fill="FFE699" w:val="clear"/>
        </w:rPr>
        <w:t>16%</w:t>
      </w:r>
      <w:r>
        <w:rPr/>
        <w:t xml:space="preserve"> difference, </w:t>
      </w:r>
      <w:r>
        <w:rPr>
          <w:shd w:fill="FFE699" w:val="clear"/>
        </w:rPr>
        <w:t>p &lt; 0.001</w:t>
      </w:r>
      <w:r>
        <w:rPr/>
        <w:t>). Our model, however, does not differ significantly from PCA (</w:t>
      </w:r>
      <w:r>
        <w:rPr>
          <w:shd w:fill="FFE699" w:val="clear"/>
        </w:rPr>
        <w:t>p = 0.21</w:t>
      </w:r>
      <w:r>
        <w:rPr/>
        <w:t>). Because a paired test over hundreds of shapes can detect differences that are negligible geometrically, Table 4 now reports each relative difference next to its p-value. We describe reconstruction as comparable to the unsupervised baselines, with a small fidelity cost for the disentanglement constraints.</w:t>
      </w:r>
    </w:p>
    <w:p>
      <w:pPr>
        <w:pStyle w:val="TextBody"/>
        <w:bidi w:val="0"/>
        <w:spacing w:lineRule="auto" w:line="276" w:before="0" w:after="120"/>
        <w:jc w:val="left"/>
        <w:rPr/>
      </w:pPr>
      <w:r>
        <w:rPr>
          <w:b/>
        </w:rPr>
        <w:t>Author action:</w:t>
      </w:r>
      <w:r>
        <w:rPr/>
        <w:t xml:space="preserve"> We updated the manuscript by:</w:t>
      </w:r>
    </w:p>
    <w:p>
      <w:pPr>
        <w:pStyle w:val="TextBody"/>
        <w:bidi w:val="0"/>
        <w:spacing w:lineRule="auto" w:line="276" w:before="0" w:after="120"/>
        <w:jc w:val="left"/>
        <w:rPr/>
      </w:pPr>
      <w:r>
        <w:rPr/>
        <w:t xml:space="preserve">• </w:t>
      </w:r>
      <w:r>
        <w:rPr/>
        <w:t>Reporting all entries of Tables 3 and 4 as mean ± SD over five seeds (bootstrap SD for deterministic methods, marked †), with markers for Holm-corrected significance against the proposed model and relative differences for reconstruction.</w:t>
      </w:r>
    </w:p>
    <w:p>
      <w:pPr>
        <w:pStyle w:val="TextBody"/>
        <w:bidi w:val="0"/>
        <w:spacing w:lineRule="auto" w:line="276" w:before="0" w:after="120"/>
        <w:jc w:val="left"/>
        <w:rPr/>
      </w:pPr>
      <w:r>
        <w:rPr/>
        <w:t xml:space="preserve">• </w:t>
      </w:r>
      <w:r>
        <w:rPr/>
        <w:t>Adding a “Statistical analysis” paragraph to Section IV-B that describes the seeds, the subject-level bootstrap, the tests and the multiple-comparison correction, and changing “three random seeds” to “five random seeds”.</w:t>
      </w:r>
    </w:p>
    <w:p>
      <w:pPr>
        <w:pStyle w:val="TextBody"/>
        <w:bidi w:val="0"/>
        <w:spacing w:lineRule="auto" w:line="276" w:before="0" w:after="120"/>
        <w:jc w:val="left"/>
        <w:rPr/>
      </w:pPr>
      <w:r>
        <w:rPr/>
        <w:t xml:space="preserve">• </w:t>
      </w:r>
      <w:r>
        <w:rPr/>
        <w:t>Revising Section V-A so that improvements are claimed only where the paired tests support them; the OAI ablation differences and the tied cells are now described as within seed variability.</w:t>
      </w:r>
    </w:p>
    <w:p>
      <w:pPr>
        <w:pStyle w:val="TextBody"/>
        <w:bidi w:val="0"/>
        <w:spacing w:lineRule="auto" w:line="276" w:before="0" w:after="120"/>
        <w:jc w:val="left"/>
        <w:rPr/>
      </w:pPr>
      <w:r>
        <w:rPr/>
        <w:t xml:space="preserve">• </w:t>
      </w:r>
      <w:r>
        <w:rPr/>
        <w:t>Revising the reconstruction discussion in Section V-A to report the relative Chamfer differences and their significance.</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Reviewer#1, Concern # 3:</w:t>
      </w:r>
      <w:r>
        <w:rPr/>
        <w:t xml:space="preserve"> </w:t>
      </w:r>
      <w:r>
        <w:rPr>
          <w:color w:val="00B050"/>
        </w:rPr>
        <w:t>Reproducibility details are incomplete despite the "code available" claim. The GitHub reference in the abstract is generic ("available at GitHub") with no URL. Several hyperparameters have suspiciously precise values (λ_code = 0.44, λ_snnl = 0.77, λ_dis_sen = 0.56) selected by Optuna, but the search ranges, the exact validation objective used for selection, and the sensitivity of results to these choices are not reported. Given that the method has at least eight loss weights, a sensitivity analysis would help establish that the results are not the product of heavy per-dataset tuning.</w:t>
      </w:r>
    </w:p>
    <w:p>
      <w:pPr>
        <w:pStyle w:val="TextBody"/>
        <w:bidi w:val="0"/>
        <w:spacing w:lineRule="auto" w:line="276" w:before="0" w:after="120"/>
        <w:jc w:val="left"/>
        <w:rPr/>
      </w:pPr>
      <w:r>
        <w:rPr>
          <w:b/>
        </w:rPr>
        <w:t>Author response:</w:t>
      </w:r>
      <w:r>
        <w:rPr/>
        <w:t xml:space="preserve"> We thank the reviewer and have addressed each part of this comment.</w:t>
      </w:r>
    </w:p>
    <w:p>
      <w:pPr>
        <w:pStyle w:val="TextBody"/>
        <w:bidi w:val="0"/>
        <w:spacing w:lineRule="auto" w:line="276" w:before="0" w:after="120"/>
        <w:jc w:val="left"/>
        <w:rPr/>
      </w:pPr>
      <w:r>
        <w:rPr>
          <w:i/>
        </w:rPr>
        <w:t>Code availability.</w:t>
      </w:r>
      <w:r>
        <w:rPr/>
        <w:t xml:space="preserve"> The repository is public at https://github.com/anonymous-submission01/medical-shape-disentanglement, and the URL now appears in the abstract and in a Code Availability statement. The repository contains:</w:t>
      </w:r>
    </w:p>
    <w:p>
      <w:pPr>
        <w:pStyle w:val="TextBody"/>
        <w:bidi w:val="0"/>
        <w:spacing w:lineRule="auto" w:line="276" w:before="0" w:after="120"/>
        <w:jc w:val="left"/>
        <w:rPr/>
      </w:pPr>
      <w:r>
        <w:rPr/>
        <w:t xml:space="preserve">• </w:t>
      </w:r>
      <w:r>
        <w:rPr/>
        <w:t>the code for both stages;</w:t>
      </w:r>
    </w:p>
    <w:p>
      <w:pPr>
        <w:pStyle w:val="TextBody"/>
        <w:bidi w:val="0"/>
        <w:spacing w:lineRule="auto" w:line="276" w:before="0" w:after="120"/>
        <w:jc w:val="left"/>
        <w:rPr/>
      </w:pPr>
      <w:r>
        <w:rPr/>
        <w:t xml:space="preserve">• </w:t>
      </w:r>
      <w:r>
        <w:rPr/>
        <w:t>the configuration file for every reported experiment;</w:t>
      </w:r>
    </w:p>
    <w:p>
      <w:pPr>
        <w:pStyle w:val="TextBody"/>
        <w:bidi w:val="0"/>
        <w:spacing w:lineRule="auto" w:line="276" w:before="0" w:after="120"/>
        <w:jc w:val="left"/>
        <w:rPr/>
      </w:pPr>
      <w:r>
        <w:rPr/>
        <w:t xml:space="preserve">• </w:t>
      </w:r>
      <w:r>
        <w:rPr/>
        <w:t>the subject-level split files and the pseudo-labels;</w:t>
      </w:r>
    </w:p>
    <w:p>
      <w:pPr>
        <w:pStyle w:val="TextBody"/>
        <w:bidi w:val="0"/>
        <w:spacing w:lineRule="auto" w:line="276" w:before="0" w:after="120"/>
        <w:jc w:val="left"/>
        <w:rPr/>
      </w:pPr>
      <w:r>
        <w:rPr/>
        <w:t xml:space="preserve">• </w:t>
      </w:r>
      <w:r>
        <w:rPr/>
        <w:t>the trained checkpoints;</w:t>
      </w:r>
    </w:p>
    <w:p>
      <w:pPr>
        <w:pStyle w:val="TextBody"/>
        <w:bidi w:val="0"/>
        <w:spacing w:lineRule="auto" w:line="276" w:before="0" w:after="120"/>
        <w:jc w:val="left"/>
        <w:rPr/>
      </w:pPr>
      <w:r>
        <w:rPr/>
        <w:t xml:space="preserve">• </w:t>
      </w:r>
      <w:r>
        <w:rPr/>
        <w:t>scripts that regenerate every table and figure.</w:t>
      </w:r>
    </w:p>
    <w:p>
      <w:pPr>
        <w:pStyle w:val="TextBody"/>
        <w:bidi w:val="0"/>
        <w:spacing w:lineRule="auto" w:line="276" w:before="0" w:after="120"/>
        <w:jc w:val="left"/>
        <w:rPr/>
      </w:pPr>
      <w:r>
        <w:rPr/>
        <w:t>The ADNI and OAI imaging data cannot be redistributed, so the repository documents how to obtain them.</w:t>
      </w:r>
    </w:p>
    <w:p>
      <w:pPr>
        <w:pStyle w:val="TextBody"/>
        <w:bidi w:val="0"/>
        <w:spacing w:lineRule="auto" w:line="276" w:before="0" w:after="120"/>
        <w:jc w:val="left"/>
        <w:rPr/>
      </w:pPr>
      <w:r>
        <w:rPr>
          <w:i/>
        </w:rPr>
        <w:t>Search space and selection objective.</w:t>
      </w:r>
      <w:r>
        <w:rPr/>
        <w:t xml:space="preserve"> The new Appendix Table A1 lists every searched hyperparameter with its range, scale and selected value. For the weights named by the reviewer, λ</w:t>
      </w:r>
      <w:r>
        <w:rPr>
          <w:position w:val="-2"/>
          <w:sz w:val="18"/>
        </w:rPr>
        <w:t>code</w:t>
      </w:r>
      <w:r>
        <w:rPr/>
        <w:t xml:space="preserve"> was searched over [10⁻³, 0.5] on a log scale and λ</w:t>
      </w:r>
      <w:r>
        <w:rPr>
          <w:position w:val="-2"/>
          <w:sz w:val="18"/>
        </w:rPr>
        <w:t>snnl</w:t>
      </w:r>
      <w:r>
        <w:rPr/>
        <w:t xml:space="preserve"> over [0.1, 1.0] on a linear scale. The weights λ</w:t>
      </w:r>
      <w:r>
        <w:rPr>
          <w:position w:val="-2"/>
          <w:sz w:val="18"/>
        </w:rPr>
        <w:t>dis_sen</w:t>
      </w:r>
      <w:r>
        <w:rPr/>
        <w:t>, ε and η were fixed rather than searched, and Section IV-B now separates the searched values from the fixed ones.</w:t>
      </w:r>
    </w:p>
    <w:p>
      <w:pPr>
        <w:pStyle w:val="TextBody"/>
        <w:bidi w:val="0"/>
        <w:spacing w:lineRule="auto" w:line="276" w:before="0" w:after="120"/>
        <w:jc w:val="left"/>
        <w:rPr/>
      </w:pPr>
      <w:r>
        <w:rPr/>
        <w:t>The search used Optuna’s TPE sampler (seed 0) with 100 trials of 500 epochs each. Each trial was scored with the objective</w:t>
      </w:r>
    </w:p>
    <w:p>
      <w:pPr>
        <w:pStyle w:val="TextBody"/>
        <w:bidi w:val="0"/>
        <w:jc w:val="center"/>
        <w:rPr/>
      </w:pPr>
      <w:r>
        <w:rPr>
          <w:i/>
        </w:rPr>
        <w:t>J</w:t>
      </w:r>
      <w:r>
        <w:rPr/>
        <w:t xml:space="preserve"> = 0.6 · SAP + 0.3 · ½ (|</w:t>
      </w:r>
      <w:r>
        <w:rPr>
          <w:i/>
        </w:rPr>
        <w:t>r</w:t>
      </w:r>
      <w:r>
        <w:rPr>
          <w:position w:val="-2"/>
          <w:sz w:val="18"/>
        </w:rPr>
        <w:t>disease</w:t>
      </w:r>
      <w:r>
        <w:rPr/>
        <w:t>| + |</w:t>
      </w:r>
      <w:r>
        <w:rPr>
          <w:i/>
        </w:rPr>
        <w:t>r</w:t>
      </w:r>
      <w:r>
        <w:rPr>
          <w:position w:val="-2"/>
          <w:sz w:val="18"/>
        </w:rPr>
        <w:t>age</w:t>
      </w:r>
      <w:r>
        <w:rPr/>
        <w:t>|) + 0.1 · (−L</w:t>
      </w:r>
      <w:r>
        <w:rPr>
          <w:position w:val="-2"/>
          <w:sz w:val="18"/>
        </w:rPr>
        <w:t>SDF</w:t>
      </w:r>
      <w:r>
        <w:rPr/>
        <w:t>),</w:t>
      </w:r>
    </w:p>
    <w:p>
      <w:pPr>
        <w:pStyle w:val="TextBody"/>
        <w:bidi w:val="0"/>
        <w:spacing w:lineRule="auto" w:line="276" w:before="0" w:after="120"/>
        <w:jc w:val="left"/>
        <w:rPr/>
      </w:pPr>
      <w:r>
        <w:rPr/>
        <w:t>with SAP and the two correlations computed on a held-out 10% of the training subjects, and L</w:t>
      </w:r>
      <w:r>
        <w:rPr>
          <w:position w:val="-2"/>
          <w:sz w:val="18"/>
        </w:rPr>
        <w:t>SDF</w:t>
      </w:r>
      <w:r>
        <w:rPr/>
        <w:t xml:space="preserve"> computed on the training shapes. The selected configuration was then trained for 2,000 epochs. The precise decimals of the selected values simply reflect the continuous search space and carry no individual meaning, as the sensitivity analysis below shows. Because SAP in this objective uses the diagnosis labels of the held-out subset, model selection is the only point at which ground-truth diagnosis enters the pipeline; this is now stated in Sections IV-B and VI.</w:t>
      </w:r>
    </w:p>
    <w:p>
      <w:pPr>
        <w:pStyle w:val="TextBody"/>
        <w:bidi w:val="0"/>
        <w:spacing w:lineRule="auto" w:line="276" w:before="0" w:after="120"/>
        <w:jc w:val="left"/>
        <w:rPr/>
      </w:pPr>
      <w:r>
        <w:rPr>
          <w:i/>
        </w:rPr>
        <w:t>Per-dataset tuning.</w:t>
      </w:r>
      <w:r>
        <w:rPr/>
        <w:t xml:space="preserve"> A single configuration, selected on ADNI, is used unchanged for OAI, so the OAI results involve no per-dataset tuning.</w:t>
      </w:r>
    </w:p>
    <w:p>
      <w:pPr>
        <w:pStyle w:val="TextBody"/>
        <w:bidi w:val="0"/>
        <w:spacing w:lineRule="auto" w:line="276" w:before="0" w:after="120"/>
        <w:jc w:val="left"/>
        <w:rPr/>
      </w:pPr>
      <w:r>
        <w:rPr>
          <w:i/>
        </w:rPr>
        <w:t>Sensitivity analysis.</w:t>
      </w:r>
      <w:r>
        <w:rPr/>
        <w:t xml:space="preserve"> We perturbed each of the five principal loss weights (λ</w:t>
      </w:r>
      <w:r>
        <w:rPr>
          <w:position w:val="-2"/>
          <w:sz w:val="18"/>
        </w:rPr>
        <w:t>code</w:t>
      </w:r>
      <w:r>
        <w:rPr/>
        <w:t>, λ</w:t>
      </w:r>
      <w:r>
        <w:rPr>
          <w:position w:val="-2"/>
          <w:sz w:val="18"/>
        </w:rPr>
        <w:t>snnl</w:t>
      </w:r>
      <w:r>
        <w:rPr/>
        <w:t>, λ</w:t>
      </w:r>
      <w:r>
        <w:rPr>
          <w:position w:val="-2"/>
          <w:sz w:val="18"/>
        </w:rPr>
        <w:t>cov</w:t>
      </w:r>
      <w:r>
        <w:rPr/>
        <w:t>, λ</w:t>
      </w:r>
      <w:r>
        <w:rPr>
          <w:position w:val="-2"/>
          <w:sz w:val="18"/>
        </w:rPr>
        <w:t>dis_sen</w:t>
      </w:r>
      <w:r>
        <w:rPr/>
        <w:t xml:space="preserve"> and β) by ±50% around its selected value, one at a time with all others fixed. The analysis used ADNI, with three seeds per setting and the Optuna trial length of 500 epochs, including for the unperturbed configuration.</w:t>
      </w:r>
    </w:p>
    <w:p>
      <w:pPr>
        <w:pStyle w:val="TextBody"/>
        <w:bidi w:val="0"/>
        <w:spacing w:lineRule="auto" w:line="276" w:before="0" w:after="120"/>
        <w:jc w:val="left"/>
        <w:rPr/>
      </w:pPr>
      <w:r>
        <w:rPr/>
        <w:t xml:space="preserve">Four of the five weights change disease SAP by at most </w:t>
      </w:r>
      <w:r>
        <w:rPr>
          <w:shd w:fill="FFE699" w:val="clear"/>
        </w:rPr>
        <w:t>0.02</w:t>
      </w:r>
      <w:r>
        <w:rPr/>
        <w:t>, which is less than one seed standard deviation (</w:t>
      </w:r>
      <w:r>
        <w:rPr>
          <w:shd w:fill="FFE699" w:val="clear"/>
        </w:rPr>
        <w:t>0.03</w:t>
      </w:r>
      <w:r>
        <w:rPr/>
        <w:t>). Only λ</w:t>
      </w:r>
      <w:r>
        <w:rPr>
          <w:position w:val="-2"/>
          <w:sz w:val="18"/>
        </w:rPr>
        <w:t>snnl</w:t>
      </w:r>
      <w:r>
        <w:rPr/>
        <w:t xml:space="preserve"> has a systematic effect: halving it lowers disease SAP from </w:t>
      </w:r>
      <w:r>
        <w:rPr>
          <w:shd w:fill="FFE699" w:val="clear"/>
        </w:rPr>
        <w:t>0.38 ± 0.03</w:t>
      </w:r>
      <w:r>
        <w:rPr/>
        <w:t xml:space="preserve"> to </w:t>
      </w:r>
      <w:r>
        <w:rPr>
          <w:shd w:fill="FFE699" w:val="clear"/>
        </w:rPr>
        <w:t>0.32 ± 0.04</w:t>
      </w:r>
      <w:r>
        <w:rPr/>
        <w:t>, as expected when the supervision is weakened, while raising it by 50% leaves SAP essentially unchanged (</w:t>
      </w:r>
      <w:r>
        <w:rPr>
          <w:shd w:fill="FFE699" w:val="clear"/>
        </w:rPr>
        <w:t>0.37 ± 0.03</w:t>
      </w:r>
      <w:r>
        <w:rPr/>
        <w:t xml:space="preserve">). Chamfer distance varies by at most </w:t>
      </w:r>
      <w:r>
        <w:rPr>
          <w:shd w:fill="FFE699" w:val="clear"/>
        </w:rPr>
        <w:t>12%</w:t>
      </w:r>
      <w:r>
        <w:rPr/>
        <w:t>, mainly with λ</w:t>
      </w:r>
      <w:r>
        <w:rPr>
          <w:position w:val="-2"/>
          <w:sz w:val="18"/>
        </w:rPr>
        <w:t>code</w:t>
      </w:r>
      <w:r>
        <w:rPr/>
        <w:t>. The results therefore do not hinge on the precise values reported, and the method is not tuned to a narrow optimum.</w:t>
      </w:r>
    </w:p>
    <w:p>
      <w:pPr>
        <w:pStyle w:val="TextBody"/>
        <w:bidi w:val="0"/>
        <w:spacing w:lineRule="auto" w:line="276" w:before="0" w:after="120"/>
        <w:jc w:val="left"/>
        <w:rPr/>
      </w:pPr>
      <w:r>
        <w:rPr>
          <w:b/>
        </w:rPr>
        <w:t>Author action:</w:t>
      </w:r>
      <w:r>
        <w:rPr/>
        <w:t xml:space="preserve"> We updated the manuscript by:</w:t>
      </w:r>
    </w:p>
    <w:p>
      <w:pPr>
        <w:pStyle w:val="TextBody"/>
        <w:bidi w:val="0"/>
        <w:spacing w:lineRule="auto" w:line="276" w:before="0" w:after="120"/>
        <w:jc w:val="left"/>
        <w:rPr/>
      </w:pPr>
      <w:r>
        <w:rPr/>
        <w:t xml:space="preserve">• </w:t>
      </w:r>
      <w:r>
        <w:rPr/>
        <w:t>Adding the repository URL to the Abstract and a Code Availability statement.</w:t>
      </w:r>
    </w:p>
    <w:p>
      <w:pPr>
        <w:pStyle w:val="TextBody"/>
        <w:bidi w:val="0"/>
        <w:spacing w:lineRule="auto" w:line="276" w:before="0" w:after="120"/>
        <w:jc w:val="left"/>
        <w:rPr/>
      </w:pPr>
      <w:r>
        <w:rPr/>
        <w:t xml:space="preserve">• </w:t>
      </w:r>
      <w:r>
        <w:rPr/>
        <w:t>Adding Appendix Table A1 with the full search space, sampler, number of trials, trial length, selection objective and selected values.</w:t>
      </w:r>
    </w:p>
    <w:p>
      <w:pPr>
        <w:pStyle w:val="TextBody"/>
        <w:bidi w:val="0"/>
        <w:spacing w:lineRule="auto" w:line="276" w:before="0" w:after="120"/>
        <w:jc w:val="left"/>
        <w:rPr/>
      </w:pPr>
      <w:r>
        <w:rPr/>
        <w:t xml:space="preserve">• </w:t>
      </w:r>
      <w:r>
        <w:rPr/>
        <w:t>Rewriting the hyperparameter paragraph of Section IV-B to state the selection objective, the evaluation subset, which weights were fixed, and that model selection uses held-out diagnosis labels (the latter also noted in Section VI).</w:t>
      </w:r>
    </w:p>
    <w:p>
      <w:pPr>
        <w:pStyle w:val="TextBody"/>
        <w:bidi w:val="0"/>
        <w:spacing w:lineRule="auto" w:line="276" w:before="0" w:after="120"/>
        <w:jc w:val="left"/>
        <w:rPr/>
      </w:pPr>
      <w:r>
        <w:rPr/>
        <w:t xml:space="preserve">• </w:t>
      </w:r>
      <w:r>
        <w:rPr/>
        <w:t>Adding a new Section V-E and Table 6 that report the loss-weight sensitivity analysis.</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Reviewer#1, Concern # 4:</w:t>
      </w:r>
      <w:r>
        <w:rPr/>
        <w:t xml:space="preserve"> </w:t>
      </w:r>
      <w:r>
        <w:rPr>
          <w:color w:val="00B050"/>
        </w:rPr>
        <w:t>Several equations have rendering or notation problems that should be checked against the source. Equation (5) and Equation (6) contain what appear to be malformed brackets/subscripts; the L_shape term in the text (Section III-C, final paragraph) is written as L_SDF in Equation (5) and Algorithm 1 uses L_SDF(Ẑ; G_θ) — please unify the naming of this loss.</w:t>
      </w:r>
    </w:p>
    <w:p>
      <w:pPr>
        <w:pStyle w:val="TextBody"/>
        <w:bidi w:val="0"/>
        <w:spacing w:lineRule="auto" w:line="276" w:before="0" w:after="120"/>
        <w:jc w:val="left"/>
        <w:rPr/>
      </w:pPr>
      <w:r>
        <w:rPr>
          <w:b/>
        </w:rPr>
        <w:t>Author response:</w:t>
      </w:r>
      <w:r>
        <w:rPr/>
        <w:t xml:space="preserve"> We thank the reviewer for the careful reading. We checked every equation against the LaTeX source and made the following corrections.</w:t>
      </w:r>
    </w:p>
    <w:p>
      <w:pPr>
        <w:pStyle w:val="TextBody"/>
        <w:bidi w:val="0"/>
        <w:spacing w:lineRule="auto" w:line="276" w:before="0" w:after="120"/>
        <w:jc w:val="left"/>
        <w:rPr/>
      </w:pPr>
      <w:r>
        <w:rPr>
          <w:i/>
        </w:rPr>
        <w:t>Loss naming.</w:t>
      </w:r>
      <w:r>
        <w:rPr/>
        <w:t xml:space="preserve"> The shape reconstruction loss is now called L</w:t>
      </w:r>
      <w:r>
        <w:rPr>
          <w:position w:val="-2"/>
          <w:sz w:val="18"/>
        </w:rPr>
        <w:t>SDF</w:t>
      </w:r>
      <w:r>
        <w:rPr/>
        <w:t xml:space="preserve"> throughout: in Section III-C, in Eq. (5) and in Algorithm 1. When it is applied to reconstructed codes through the frozen decoder, it is written L</w:t>
      </w:r>
      <w:r>
        <w:rPr>
          <w:position w:val="-2"/>
          <w:sz w:val="18"/>
        </w:rPr>
        <w:t>SDF</w:t>
      </w:r>
      <w:r>
        <w:rPr/>
        <w:t>(Ẑ; θ).</w:t>
      </w:r>
    </w:p>
    <w:p>
      <w:pPr>
        <w:pStyle w:val="TextBody"/>
        <w:bidi w:val="0"/>
        <w:spacing w:lineRule="auto" w:line="276" w:before="0" w:after="120"/>
        <w:jc w:val="left"/>
        <w:rPr/>
      </w:pPr>
      <w:r>
        <w:rPr>
          <w:i/>
        </w:rPr>
        <w:t>Equations (5) and (6)</w:t>
      </w:r>
      <w:r>
        <w:rPr/>
        <w:t xml:space="preserve"> are rewritten with explicit arguments and balanced brackets, where </w:t>
      </w:r>
      <w:r>
        <w:rPr>
          <w:i/>
        </w:rPr>
        <w:t>a</w:t>
      </w:r>
      <w:r>
        <w:rPr/>
        <w:t xml:space="preserve"> denotes the age labels:</w:t>
      </w:r>
    </w:p>
    <w:p>
      <w:pPr>
        <w:pStyle w:val="TextBody"/>
        <w:bidi w:val="0"/>
        <w:jc w:val="center"/>
        <w:rPr/>
      </w:pPr>
      <w:r>
        <w:rPr/>
        <w:t>(5) L</w:t>
      </w:r>
      <w:r>
        <w:rPr>
          <w:position w:val="-2"/>
          <w:sz w:val="18"/>
        </w:rPr>
        <w:t>disentangle</w:t>
      </w:r>
      <w:r>
        <w:rPr/>
        <w:t>(φ, ψ) = L</w:t>
      </w:r>
      <w:r>
        <w:rPr>
          <w:position w:val="-2"/>
          <w:sz w:val="18"/>
        </w:rPr>
        <w:t>VAE</w:t>
      </w:r>
      <w:r>
        <w:rPr/>
        <w:t>(φ, ψ) + λ</w:t>
      </w:r>
      <w:r>
        <w:rPr>
          <w:position w:val="-2"/>
          <w:sz w:val="18"/>
        </w:rPr>
        <w:t>snnl</w:t>
      </w:r>
      <w:r>
        <w:rPr/>
        <w:t xml:space="preserve"> L</w:t>
      </w:r>
      <w:r>
        <w:rPr>
          <w:position w:val="-2"/>
          <w:sz w:val="18"/>
        </w:rPr>
        <w:t>SNNL</w:t>
      </w:r>
      <w:r>
        <w:rPr/>
        <w:t>(Z</w:t>
      </w:r>
      <w:r>
        <w:rPr>
          <w:position w:val="7"/>
          <w:sz w:val="18"/>
        </w:rPr>
        <w:t>v</w:t>
      </w:r>
      <w:r>
        <w:rPr/>
        <w:t xml:space="preserve">; ỹ, </w:t>
      </w:r>
      <w:r>
        <w:rPr>
          <w:i/>
        </w:rPr>
        <w:t>a</w:t>
      </w:r>
      <w:r>
        <w:rPr/>
        <w:t>) + λ</w:t>
      </w:r>
      <w:r>
        <w:rPr>
          <w:position w:val="-2"/>
          <w:sz w:val="18"/>
        </w:rPr>
        <w:t>cov</w:t>
      </w:r>
      <w:r>
        <w:rPr/>
        <w:t xml:space="preserve"> L</w:t>
      </w:r>
      <w:r>
        <w:rPr>
          <w:position w:val="-2"/>
          <w:sz w:val="18"/>
        </w:rPr>
        <w:t>cov</w:t>
      </w:r>
      <w:r>
        <w:rPr/>
        <w:t>(Z</w:t>
      </w:r>
      <w:r>
        <w:rPr>
          <w:position w:val="7"/>
          <w:sz w:val="18"/>
        </w:rPr>
        <w:t>v</w:t>
      </w:r>
      <w:r>
        <w:rPr/>
        <w:t>) + λ</w:t>
      </w:r>
      <w:r>
        <w:rPr>
          <w:position w:val="-2"/>
          <w:sz w:val="18"/>
        </w:rPr>
        <w:t>dis_sen</w:t>
      </w:r>
      <w:r>
        <w:rPr/>
        <w:t xml:space="preserve"> L</w:t>
      </w:r>
      <w:r>
        <w:rPr>
          <w:position w:val="-2"/>
          <w:sz w:val="18"/>
        </w:rPr>
        <w:t>dis_sen</w:t>
      </w:r>
      <w:r>
        <w:rPr/>
        <w:t>(Z</w:t>
      </w:r>
      <w:r>
        <w:rPr>
          <w:position w:val="7"/>
          <w:sz w:val="18"/>
        </w:rPr>
        <w:t>v</w:t>
      </w:r>
      <w:r>
        <w:rPr/>
        <w:t>; ψ) + λ</w:t>
      </w:r>
      <w:r>
        <w:rPr>
          <w:position w:val="-2"/>
          <w:sz w:val="18"/>
        </w:rPr>
        <w:t>SDF</w:t>
      </w:r>
      <w:r>
        <w:rPr/>
        <w:t xml:space="preserve"> L</w:t>
      </w:r>
      <w:r>
        <w:rPr>
          <w:position w:val="-2"/>
          <w:sz w:val="18"/>
        </w:rPr>
        <w:t>SDF</w:t>
      </w:r>
      <w:r>
        <w:rPr/>
        <w:t>(Ẑ; θ)</w:t>
      </w:r>
    </w:p>
    <w:p>
      <w:pPr>
        <w:pStyle w:val="TextBody"/>
        <w:bidi w:val="0"/>
        <w:jc w:val="center"/>
        <w:rPr/>
      </w:pPr>
      <w:r>
        <w:rPr/>
        <w:t>(6) L</w:t>
      </w:r>
      <w:r>
        <w:rPr>
          <w:position w:val="-2"/>
          <w:sz w:val="18"/>
        </w:rPr>
        <w:t>VAE</w:t>
      </w:r>
      <w:r>
        <w:rPr/>
        <w:t>(φ, ψ) = λ</w:t>
      </w:r>
      <w:r>
        <w:rPr>
          <w:position w:val="-2"/>
          <w:sz w:val="18"/>
        </w:rPr>
        <w:t>code</w:t>
      </w:r>
      <w:r>
        <w:rPr/>
        <w:t xml:space="preserve"> L</w:t>
      </w:r>
      <w:r>
        <w:rPr>
          <w:position w:val="-2"/>
          <w:sz w:val="18"/>
        </w:rPr>
        <w:t>code</w:t>
      </w:r>
      <w:r>
        <w:rPr/>
        <w:t>(Z, Ẑ) + β D</w:t>
      </w:r>
      <w:r>
        <w:rPr>
          <w:position w:val="-2"/>
          <w:sz w:val="18"/>
        </w:rPr>
        <w:t>KL</w:t>
      </w:r>
      <w:r>
        <w:rPr/>
        <w:t>( q</w:t>
      </w:r>
      <w:r>
        <w:rPr>
          <w:position w:val="-2"/>
          <w:sz w:val="18"/>
        </w:rPr>
        <w:t>φ</w:t>
      </w:r>
      <w:r>
        <w:rPr/>
        <w:t>(Z</w:t>
      </w:r>
      <w:r>
        <w:rPr>
          <w:position w:val="7"/>
          <w:sz w:val="18"/>
        </w:rPr>
        <w:t>v</w:t>
      </w:r>
      <w:r>
        <w:rPr/>
        <w:t xml:space="preserve"> | Z) ‖ N(0, I) )</w:t>
      </w:r>
    </w:p>
    <w:p>
      <w:pPr>
        <w:pStyle w:val="TextBody"/>
        <w:bidi w:val="0"/>
        <w:jc w:val="left"/>
        <w:rPr>
          <w:i/>
        </w:rPr>
      </w:pPr>
      <w:r>
        <w:rPr>
          <w:i/>
        </w:rPr>
        <w:t>Further corrections made during this check:</w:t>
      </w:r>
    </w:p>
    <w:p>
      <w:pPr>
        <w:pStyle w:val="TextBody"/>
        <w:bidi w:val="0"/>
        <w:spacing w:lineRule="auto" w:line="276" w:before="0" w:after="120"/>
        <w:jc w:val="left"/>
        <w:rPr/>
      </w:pPr>
      <w:r>
        <w:rPr/>
        <w:t xml:space="preserve">• </w:t>
      </w:r>
      <w:r>
        <w:rPr/>
        <w:t>Eq. (4) previously wrote the mixture density on the whole code matrix Z. It is now the average negative log-likelihood of the individual codes: L</w:t>
      </w:r>
      <w:r>
        <w:rPr>
          <w:position w:val="-2"/>
          <w:sz w:val="18"/>
        </w:rPr>
        <w:t>GMM</w:t>
      </w:r>
      <w:r>
        <w:rPr/>
        <w:t>(Z) = −(1/N) Σ</w:t>
      </w:r>
      <w:r>
        <w:rPr>
          <w:position w:val="-2"/>
          <w:sz w:val="18"/>
        </w:rPr>
        <w:t>i</w:t>
      </w:r>
      <w:r>
        <w:rPr/>
        <w:t xml:space="preserve"> log Σ</w:t>
      </w:r>
      <w:r>
        <w:rPr>
          <w:position w:val="-2"/>
          <w:sz w:val="18"/>
        </w:rPr>
        <w:t>m</w:t>
      </w:r>
      <w:r>
        <w:rPr/>
        <w:t xml:space="preserve"> π</w:t>
      </w:r>
      <w:r>
        <w:rPr>
          <w:position w:val="-2"/>
          <w:sz w:val="18"/>
        </w:rPr>
        <w:t>m</w:t>
      </w:r>
      <w:r>
        <w:rPr/>
        <w:t xml:space="preserve"> N(z</w:t>
      </w:r>
      <w:r>
        <w:rPr>
          <w:position w:val="-2"/>
          <w:sz w:val="18"/>
        </w:rPr>
        <w:t>i</w:t>
      </w:r>
      <w:r>
        <w:rPr/>
        <w:t xml:space="preserve"> | μ</w:t>
      </w:r>
      <w:r>
        <w:rPr>
          <w:position w:val="-2"/>
          <w:sz w:val="18"/>
        </w:rPr>
        <w:t>m</w:t>
      </w:r>
      <w:r>
        <w:rPr/>
        <w:t>, diag(σ</w:t>
      </w:r>
      <w:r>
        <w:rPr>
          <w:position w:val="-2"/>
          <w:sz w:val="18"/>
        </w:rPr>
        <w:t>m</w:t>
      </w:r>
      <w:r>
        <w:rPr>
          <w:position w:val="7"/>
          <w:sz w:val="18"/>
        </w:rPr>
        <w:t>2</w:t>
      </w:r>
      <w:r>
        <w:rPr/>
        <w:t>)).</w:t>
      </w:r>
    </w:p>
    <w:p>
      <w:pPr>
        <w:pStyle w:val="TextBody"/>
        <w:bidi w:val="0"/>
        <w:spacing w:lineRule="auto" w:line="276" w:before="0" w:after="120"/>
        <w:jc w:val="left"/>
        <w:rPr/>
      </w:pPr>
      <w:r>
        <w:rPr/>
        <w:t xml:space="preserve">• </w:t>
      </w:r>
      <w:r>
        <w:rPr/>
        <w:t>The symbol α was used both for the SNNL affinity (Eq. 7) and for the decoder sensitivity (Eq. 9). The sensitivity is now denoted γ</w:t>
      </w:r>
      <w:r>
        <w:rPr>
          <w:position w:val="-2"/>
          <w:sz w:val="18"/>
        </w:rPr>
        <w:t>c</w:t>
      </w:r>
      <w:r>
        <w:rPr/>
        <w:t>, and the bracketing of Eq. (9) is made explicit: L</w:t>
      </w:r>
      <w:r>
        <w:rPr>
          <w:position w:val="-2"/>
          <w:sz w:val="18"/>
        </w:rPr>
        <w:t>dis_sen</w:t>
      </w:r>
      <w:r>
        <w:rPr/>
        <w:t xml:space="preserve"> = (s</w:t>
      </w:r>
      <w:r>
        <w:rPr>
          <w:position w:val="-2"/>
          <w:sz w:val="18"/>
        </w:rPr>
        <w:t>c</w:t>
      </w:r>
      <w:r>
        <w:rPr/>
        <w:t xml:space="preserve"> − s̄</w:t>
      </w:r>
      <w:r>
        <w:rPr>
          <w:position w:val="-2"/>
          <w:sz w:val="18"/>
        </w:rPr>
        <w:t>¬c</w:t>
      </w:r>
      <w:r>
        <w:rPr/>
        <w:t>)</w:t>
      </w:r>
      <w:r>
        <w:rPr>
          <w:position w:val="7"/>
          <w:sz w:val="18"/>
        </w:rPr>
        <w:t>2</w:t>
      </w:r>
      <w:r>
        <w:rPr/>
        <w:t xml:space="preserve"> + ( max(0, η − γ</w:t>
      </w:r>
      <w:r>
        <w:rPr>
          <w:position w:val="-2"/>
          <w:sz w:val="18"/>
        </w:rPr>
        <w:t>c</w:t>
      </w:r>
      <w:r>
        <w:rPr/>
        <w:t>) / η )</w:t>
      </w:r>
      <w:r>
        <w:rPr>
          <w:position w:val="7"/>
          <w:sz w:val="18"/>
        </w:rPr>
        <w:t>2</w:t>
      </w:r>
      <w:r>
        <w:rPr/>
        <w:t>.</w:t>
      </w:r>
    </w:p>
    <w:p>
      <w:pPr>
        <w:pStyle w:val="TextBody"/>
        <w:bidi w:val="0"/>
        <w:spacing w:lineRule="auto" w:line="276" w:before="0" w:after="120"/>
        <w:jc w:val="left"/>
        <w:rPr/>
      </w:pPr>
      <w:r>
        <w:rPr/>
        <w:t xml:space="preserve">• </w:t>
      </w:r>
      <w:r>
        <w:rPr/>
        <w:t>In Eq. (7), the non-target index set is now written D</w:t>
      </w:r>
      <w:r>
        <w:rPr>
          <w:position w:val="-2"/>
          <w:sz w:val="18"/>
        </w:rPr>
        <w:t>¬c</w:t>
      </w:r>
      <w:r>
        <w:rPr/>
        <w:t xml:space="preserve"> (previously D</w:t>
      </w:r>
      <w:r>
        <w:rPr>
          <w:position w:val="-2"/>
          <w:sz w:val="18"/>
        </w:rPr>
        <w:t>¬t</w:t>
      </w:r>
      <w:r>
        <w:rPr/>
        <w:t>), consistent with the target coordinate c.</w:t>
      </w:r>
    </w:p>
    <w:p>
      <w:pPr>
        <w:pStyle w:val="TextBody"/>
        <w:bidi w:val="0"/>
        <w:spacing w:lineRule="auto" w:line="276" w:before="0" w:after="120"/>
        <w:jc w:val="left"/>
        <w:rPr/>
      </w:pPr>
      <w:r>
        <w:rPr/>
        <w:t xml:space="preserve">• </w:t>
      </w:r>
      <w:r>
        <w:rPr/>
        <w:t>The SNNL neighbourhood threshold is now written τ instead of “Th”, and semicolons consistently separate data arguments from parameters.</w:t>
      </w:r>
    </w:p>
    <w:p>
      <w:pPr>
        <w:pStyle w:val="TextBody"/>
        <w:bidi w:val="0"/>
        <w:spacing w:lineRule="auto" w:line="276" w:before="0" w:after="120"/>
        <w:jc w:val="left"/>
        <w:rPr/>
      </w:pPr>
      <w:r>
        <w:rPr>
          <w:b/>
        </w:rPr>
        <w:t>Author action:</w:t>
      </w:r>
      <w:r>
        <w:rPr/>
        <w:t xml:space="preserve"> We updated the manuscript by correcting Eqs. (4)–(9), unifying the name of the shape loss in Section III-C and Algorithm 1, renaming the sensitivity symbol, and applying consistent argument notation throughout Section III.</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Reviewer#1, Concern # 5:</w:t>
      </w:r>
      <w:r>
        <w:rPr/>
        <w:t xml:space="preserve"> </w:t>
      </w:r>
      <w:r>
        <w:rPr>
          <w:color w:val="00B050"/>
        </w:rPr>
        <w:t>Figure 2 caption says the latent shape code is 256-dimensional and the concatenated vector is 259, but the main text (Section III-A) and Algorithm both refer to d-dimensional codes without pinning d. Confirm d = 256 consistently, and note that the block diagram in Figure 2 labels "259" while the text says a 256-D code — make the input dimension explicit.</w:t>
      </w:r>
    </w:p>
    <w:p>
      <w:pPr>
        <w:pStyle w:val="TextBody"/>
        <w:bidi w:val="0"/>
        <w:spacing w:lineRule="auto" w:line="276" w:before="0" w:after="120"/>
        <w:jc w:val="left"/>
        <w:rPr/>
      </w:pPr>
      <w:r>
        <w:rPr>
          <w:b/>
        </w:rPr>
        <w:t>Author response:</w:t>
      </w:r>
      <w:r>
        <w:rPr/>
        <w:t xml:space="preserve"> We confirm that the shape code dimension is d = 256 for both datasets and that the stage-2 latent dimension is k = 8. The decoder input is the concatenation of the 256-dimensional shape code and the 3-dimensional query coordinate, which gives the 259-dimensional vector labelled in Figure 2. At the skip connection, this 259-dimensional input is concatenated with the 253-dimensional output of the preceding layer to restore a width of 512. The apparent inconsistency arose because Section III-A and Algorithm 1 did not state d explicitly.</w:t>
      </w:r>
    </w:p>
    <w:p>
      <w:pPr>
        <w:pStyle w:val="TextBody"/>
        <w:bidi w:val="0"/>
        <w:spacing w:lineRule="auto" w:line="276" w:before="0" w:after="120"/>
        <w:jc w:val="left"/>
        <w:rPr/>
      </w:pPr>
      <w:r>
        <w:rPr>
          <w:b/>
        </w:rPr>
        <w:t>Author action:</w:t>
      </w:r>
      <w:r>
        <w:rPr/>
        <w:t xml:space="preserve"> We updated the manuscript by stating d = 256 and k = 8 in Section III-A, writing the input codes of Algorithm 1 as z</w:t>
      </w:r>
      <w:r>
        <w:rPr>
          <w:position w:val="-2"/>
          <w:sz w:val="18"/>
        </w:rPr>
        <w:t>i</w:t>
      </w:r>
      <w:r>
        <w:rPr/>
        <w:t xml:space="preserve"> ∈ ℝ</w:t>
      </w:r>
      <w:r>
        <w:rPr>
          <w:position w:val="7"/>
          <w:sz w:val="18"/>
        </w:rPr>
        <w:t>256</w:t>
      </w:r>
      <w:r>
        <w:rPr/>
        <w:t>, and labelling the input block of Figure 2 as “256 + 3 = 259”, with the same explanation in its caption.</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Reviewer#1, Concern # 6:</w:t>
      </w:r>
      <w:r>
        <w:rPr/>
        <w:t xml:space="preserve"> </w:t>
      </w:r>
      <w:r>
        <w:rPr>
          <w:color w:val="00B050"/>
        </w:rPr>
        <w:t>The claim of "~30% shrinkage due to AD" (Section V-D) is stated qualitatively from the generated pairs. If this figure is quantitative, report how it was computed; if illustrative, soften the language.</w:t>
      </w:r>
    </w:p>
    <w:p>
      <w:pPr>
        <w:pStyle w:val="TextBody"/>
        <w:bidi w:val="0"/>
        <w:spacing w:lineRule="auto" w:line="276" w:before="0" w:after="120"/>
        <w:jc w:val="left"/>
        <w:rPr/>
      </w:pPr>
      <w:r>
        <w:rPr>
          <w:b/>
        </w:rPr>
        <w:t>Author response:</w:t>
      </w:r>
      <w:r>
        <w:rPr/>
        <w:t xml:space="preserve"> We thank the reviewer. The figure had been read from the generated pairs and was stated too loosely. We now quantify both the effect in the cohort and the effect reproduced by the generator.</w:t>
      </w:r>
    </w:p>
    <w:p>
      <w:pPr>
        <w:pStyle w:val="TextBody"/>
        <w:bidi w:val="0"/>
        <w:spacing w:lineRule="auto" w:line="276" w:before="0" w:after="120"/>
        <w:jc w:val="left"/>
        <w:rPr/>
      </w:pPr>
      <w:r>
        <w:rPr>
          <w:i/>
        </w:rPr>
        <w:t>Cohort.</w:t>
      </w:r>
      <w:r>
        <w:rPr/>
        <w:t xml:space="preserve"> Left hippocampal volume is 2121.6 ± 306.8 mm³ for CN (477 scans) and 1536.1 ± 337.1 mm³ for AD (342 scans), so AD hippocampi are 27.6% smaller (Cohen’s d = 1.82). Averaged per subject (144 CN, 103 AD), the difference is 26.3% (Welch t = 13.35, p = 1.2 × 10⁻²⁹).</w:t>
      </w:r>
    </w:p>
    <w:p>
      <w:pPr>
        <w:pStyle w:val="TextBody"/>
        <w:bidi w:val="0"/>
        <w:spacing w:lineRule="auto" w:line="276" w:before="0" w:after="120"/>
        <w:jc w:val="left"/>
        <w:rPr/>
      </w:pPr>
      <w:r>
        <w:rPr>
          <w:i/>
        </w:rPr>
        <w:t>Generated shapes.</w:t>
      </w:r>
      <w:r>
        <w:rPr/>
        <w:t xml:space="preserve"> We extracted meshes for CN/AD pairs generated at matched ages from 60 to 90 years in one-year steps and computed their volumes. Generated AD shapes are </w:t>
      </w:r>
      <w:r>
        <w:rPr>
          <w:shd w:fill="FFE699" w:val="clear"/>
        </w:rPr>
        <w:t>19.9 ± 3.0%</w:t>
      </w:r>
      <w:r>
        <w:rPr/>
        <w:t xml:space="preserve"> smaller than generated CN shapes for the pseudo-label model, and </w:t>
      </w:r>
      <w:r>
        <w:rPr>
          <w:shd w:fill="FFE699" w:val="clear"/>
        </w:rPr>
        <w:t>21.7 ± 5.1%</w:t>
      </w:r>
      <w:r>
        <w:rPr/>
        <w:t xml:space="preserve"> smaller for the real-label model. These values agree with the volumes printed in Figure 6, which correspond to reductions of 15.4–23.4% for the pseudo-label model and 13.1–27.2% for the real-label model. The generator therefore reproduces roughly 70–80% of the cohort-level difference. The generated difference increases with age and is closest to the cohort value at the oldest ages. The earlier statement of “~30%” overstated the effect, and we have replaced it with these measured values.</w:t>
      </w:r>
    </w:p>
    <w:p>
      <w:pPr>
        <w:pStyle w:val="TextBody"/>
        <w:bidi w:val="0"/>
        <w:spacing w:lineRule="auto" w:line="276" w:before="0" w:after="120"/>
        <w:jc w:val="left"/>
        <w:rPr/>
      </w:pPr>
      <w:r>
        <w:rPr>
          <w:b/>
        </w:rPr>
        <w:t>Author action:</w:t>
      </w:r>
      <w:r>
        <w:rPr/>
        <w:t xml:space="preserve"> We updated the manuscript by replacing the qualitative “~30% shrinkage” statement in Section V-D with the measured cohort and generated volume differences. These are reported in the new Table 5, together with the traversal validation described in our response to Reviewer 2, Concern 6. We also now state in the captions of Figures 3 and 6 how volume is computed.</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Reviewer#2, General comment:</w:t>
      </w:r>
      <w:r>
        <w:rPr/>
        <w:t xml:space="preserve"> </w:t>
      </w:r>
      <w:r>
        <w:rPr>
          <w:color w:val="00B050"/>
        </w:rPr>
        <w:t>This is an exciting and well-executed study. The two-stage design is clear, and the use of pseudo labels for label-efficient disease disentanglement is a strong idea.</w:t>
      </w:r>
    </w:p>
    <w:p>
      <w:pPr>
        <w:pStyle w:val="TextBody"/>
        <w:bidi w:val="0"/>
        <w:spacing w:lineRule="auto" w:line="276" w:before="0" w:after="120"/>
        <w:jc w:val="left"/>
        <w:rPr/>
      </w:pPr>
      <w:r>
        <w:rPr>
          <w:b/>
        </w:rPr>
        <w:t>Author response:</w:t>
      </w:r>
      <w:r>
        <w:rPr/>
        <w:t xml:space="preserve"> We thank the reviewer for this positive assessment and for the constructive suggestions, which we address point by point below.</w:t>
      </w:r>
    </w:p>
    <w:p>
      <w:pPr>
        <w:pStyle w:val="TextBody"/>
        <w:bidi w:val="0"/>
        <w:spacing w:lineRule="auto" w:line="276" w:before="0" w:after="120"/>
        <w:jc w:val="left"/>
        <w:rPr/>
      </w:pPr>
      <w:r>
        <w:rPr>
          <w:b/>
        </w:rPr>
        <w:t>Author action:</w:t>
      </w:r>
      <w:r>
        <w:rPr/>
        <w:t xml:space="preserve"> No change was required for this comment.</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Reviewer#2, Concern # 1:</w:t>
      </w:r>
      <w:r>
        <w:rPr/>
        <w:t xml:space="preserve"> </w:t>
      </w:r>
      <w:r>
        <w:rPr>
          <w:color w:val="00B050"/>
        </w:rPr>
        <w:t>Please clarify patient-disjoint splitting, especially for the 819 ADNI scans from 247 subjects.</w:t>
      </w:r>
    </w:p>
    <w:p>
      <w:pPr>
        <w:pStyle w:val="TextBody"/>
        <w:bidi w:val="0"/>
        <w:spacing w:lineRule="auto" w:line="276" w:before="0" w:after="120"/>
        <w:jc w:val="left"/>
        <w:rPr/>
      </w:pPr>
      <w:r>
        <w:rPr>
          <w:b/>
        </w:rPr>
        <w:t>Author response:</w:t>
      </w:r>
      <w:r>
        <w:rPr/>
        <w:t xml:space="preserve"> All partitions are defined at the subject level, so every scan of a subject falls in the same partition. The 819 ADNI scans come from 247 subjects, with 3.32 scans per subject on average (range 1–6). We verified the partitions by subject identifier:</w:t>
      </w:r>
    </w:p>
    <w:tbl>
      <w:tblPr>
        <w:tblW w:w="8000" w:type="dxa"/>
        <w:jc w:val="left"/>
        <w:tblInd w:w="-7" w:type="dxa"/>
        <w:tblLayout w:type="fixed"/>
        <w:tblCellMar>
          <w:top w:w="60" w:type="dxa"/>
          <w:left w:w="60" w:type="dxa"/>
          <w:bottom w:w="60" w:type="dxa"/>
          <w:right w:w="60" w:type="dxa"/>
        </w:tblCellMar>
      </w:tblPr>
      <w:tblGrid>
        <w:gridCol w:w="1025"/>
        <w:gridCol w:w="831"/>
        <w:gridCol w:w="621"/>
        <w:gridCol w:w="1251"/>
        <w:gridCol w:w="1041"/>
        <w:gridCol w:w="3231"/>
      </w:tblGrid>
      <w:tr>
        <w:trPr/>
        <w:tc>
          <w:tcPr>
            <w:tcW w:w="1025"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Partition</w:t>
            </w:r>
          </w:p>
        </w:tc>
        <w:tc>
          <w:tcPr>
            <w:tcW w:w="83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Subjects</w:t>
            </w:r>
          </w:p>
        </w:tc>
        <w:tc>
          <w:tcPr>
            <w:tcW w:w="62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Scans</w:t>
            </w:r>
          </w:p>
        </w:tc>
        <w:tc>
          <w:tcPr>
            <w:tcW w:w="125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 of subjects</w:t>
            </w:r>
          </w:p>
        </w:tc>
        <w:tc>
          <w:tcPr>
            <w:tcW w:w="104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 of scans</w:t>
            </w:r>
          </w:p>
        </w:tc>
        <w:tc>
          <w:tcPr>
            <w:tcW w:w="323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Subjects shared with other partitions</w:t>
            </w:r>
          </w:p>
        </w:tc>
      </w:tr>
      <w:tr>
        <w:trPr/>
        <w:tc>
          <w:tcPr>
            <w:tcW w:w="1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Train</w:t>
            </w:r>
          </w:p>
        </w:tc>
        <w:tc>
          <w:tcPr>
            <w:tcW w:w="831" w:type="dxa"/>
            <w:tcBorders>
              <w:left w:val="single" w:sz="2" w:space="0" w:color="808080"/>
              <w:bottom w:val="single" w:sz="2" w:space="0" w:color="808080"/>
              <w:right w:val="single" w:sz="6" w:space="0" w:color="808080"/>
            </w:tcBorders>
            <w:vAlign w:val="center"/>
          </w:tcPr>
          <w:p>
            <w:pPr>
              <w:pStyle w:val="TableContents"/>
              <w:bidi w:val="0"/>
              <w:jc w:val="right"/>
              <w:rPr/>
            </w:pPr>
            <w:r>
              <w:rPr/>
              <w:t>209</w:t>
            </w:r>
          </w:p>
        </w:tc>
        <w:tc>
          <w:tcPr>
            <w:tcW w:w="621" w:type="dxa"/>
            <w:tcBorders>
              <w:left w:val="single" w:sz="2" w:space="0" w:color="808080"/>
              <w:bottom w:val="single" w:sz="2" w:space="0" w:color="808080"/>
              <w:right w:val="single" w:sz="6" w:space="0" w:color="808080"/>
            </w:tcBorders>
            <w:vAlign w:val="center"/>
          </w:tcPr>
          <w:p>
            <w:pPr>
              <w:pStyle w:val="TableContents"/>
              <w:bidi w:val="0"/>
              <w:jc w:val="right"/>
              <w:rPr/>
            </w:pPr>
            <w:r>
              <w:rPr/>
              <w:t>696</w:t>
            </w:r>
          </w:p>
        </w:tc>
        <w:tc>
          <w:tcPr>
            <w:tcW w:w="1251" w:type="dxa"/>
            <w:tcBorders>
              <w:left w:val="single" w:sz="2" w:space="0" w:color="808080"/>
              <w:bottom w:val="single" w:sz="2" w:space="0" w:color="808080"/>
              <w:right w:val="single" w:sz="6" w:space="0" w:color="808080"/>
            </w:tcBorders>
            <w:vAlign w:val="center"/>
          </w:tcPr>
          <w:p>
            <w:pPr>
              <w:pStyle w:val="TableContents"/>
              <w:bidi w:val="0"/>
              <w:jc w:val="right"/>
              <w:rPr/>
            </w:pPr>
            <w:r>
              <w:rPr/>
              <w:t>84.6</w:t>
            </w:r>
          </w:p>
        </w:tc>
        <w:tc>
          <w:tcPr>
            <w:tcW w:w="1041" w:type="dxa"/>
            <w:tcBorders>
              <w:left w:val="single" w:sz="2" w:space="0" w:color="808080"/>
              <w:bottom w:val="single" w:sz="2" w:space="0" w:color="808080"/>
              <w:right w:val="single" w:sz="6" w:space="0" w:color="808080"/>
            </w:tcBorders>
            <w:vAlign w:val="center"/>
          </w:tcPr>
          <w:p>
            <w:pPr>
              <w:pStyle w:val="TableContents"/>
              <w:bidi w:val="0"/>
              <w:jc w:val="right"/>
              <w:rPr/>
            </w:pPr>
            <w:r>
              <w:rPr/>
              <w:t>85.0</w:t>
            </w:r>
          </w:p>
        </w:tc>
        <w:tc>
          <w:tcPr>
            <w:tcW w:w="3231" w:type="dxa"/>
            <w:tcBorders>
              <w:left w:val="single" w:sz="2" w:space="0" w:color="808080"/>
              <w:bottom w:val="single" w:sz="2" w:space="0" w:color="808080"/>
              <w:right w:val="single" w:sz="6" w:space="0" w:color="808080"/>
            </w:tcBorders>
            <w:vAlign w:val="center"/>
          </w:tcPr>
          <w:p>
            <w:pPr>
              <w:pStyle w:val="TableContents"/>
              <w:bidi w:val="0"/>
              <w:jc w:val="right"/>
              <w:rPr/>
            </w:pPr>
            <w:r>
              <w:rPr/>
              <w:t>0</w:t>
            </w:r>
          </w:p>
        </w:tc>
      </w:tr>
      <w:tr>
        <w:trPr/>
        <w:tc>
          <w:tcPr>
            <w:tcW w:w="1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Validation</w:t>
            </w:r>
          </w:p>
        </w:tc>
        <w:tc>
          <w:tcPr>
            <w:tcW w:w="831" w:type="dxa"/>
            <w:tcBorders>
              <w:left w:val="single" w:sz="2" w:space="0" w:color="808080"/>
              <w:bottom w:val="single" w:sz="2" w:space="0" w:color="808080"/>
              <w:right w:val="single" w:sz="6" w:space="0" w:color="808080"/>
            </w:tcBorders>
            <w:vAlign w:val="center"/>
          </w:tcPr>
          <w:p>
            <w:pPr>
              <w:pStyle w:val="TableContents"/>
              <w:bidi w:val="0"/>
              <w:jc w:val="right"/>
              <w:rPr/>
            </w:pPr>
            <w:r>
              <w:rPr/>
              <w:t>14</w:t>
            </w:r>
          </w:p>
        </w:tc>
        <w:tc>
          <w:tcPr>
            <w:tcW w:w="621" w:type="dxa"/>
            <w:tcBorders>
              <w:left w:val="single" w:sz="2" w:space="0" w:color="808080"/>
              <w:bottom w:val="single" w:sz="2" w:space="0" w:color="808080"/>
              <w:right w:val="single" w:sz="6" w:space="0" w:color="808080"/>
            </w:tcBorders>
            <w:vAlign w:val="center"/>
          </w:tcPr>
          <w:p>
            <w:pPr>
              <w:pStyle w:val="TableContents"/>
              <w:bidi w:val="0"/>
              <w:jc w:val="right"/>
              <w:rPr/>
            </w:pPr>
            <w:r>
              <w:rPr/>
              <w:t>46</w:t>
            </w:r>
          </w:p>
        </w:tc>
        <w:tc>
          <w:tcPr>
            <w:tcW w:w="1251" w:type="dxa"/>
            <w:tcBorders>
              <w:left w:val="single" w:sz="2" w:space="0" w:color="808080"/>
              <w:bottom w:val="single" w:sz="2" w:space="0" w:color="808080"/>
              <w:right w:val="single" w:sz="6" w:space="0" w:color="808080"/>
            </w:tcBorders>
            <w:vAlign w:val="center"/>
          </w:tcPr>
          <w:p>
            <w:pPr>
              <w:pStyle w:val="TableContents"/>
              <w:bidi w:val="0"/>
              <w:jc w:val="right"/>
              <w:rPr/>
            </w:pPr>
            <w:r>
              <w:rPr/>
              <w:t>5.7</w:t>
            </w:r>
          </w:p>
        </w:tc>
        <w:tc>
          <w:tcPr>
            <w:tcW w:w="1041" w:type="dxa"/>
            <w:tcBorders>
              <w:left w:val="single" w:sz="2" w:space="0" w:color="808080"/>
              <w:bottom w:val="single" w:sz="2" w:space="0" w:color="808080"/>
              <w:right w:val="single" w:sz="6" w:space="0" w:color="808080"/>
            </w:tcBorders>
            <w:vAlign w:val="center"/>
          </w:tcPr>
          <w:p>
            <w:pPr>
              <w:pStyle w:val="TableContents"/>
              <w:bidi w:val="0"/>
              <w:jc w:val="right"/>
              <w:rPr/>
            </w:pPr>
            <w:r>
              <w:rPr/>
              <w:t>5.6</w:t>
            </w:r>
          </w:p>
        </w:tc>
        <w:tc>
          <w:tcPr>
            <w:tcW w:w="3231" w:type="dxa"/>
            <w:tcBorders>
              <w:left w:val="single" w:sz="2" w:space="0" w:color="808080"/>
              <w:bottom w:val="single" w:sz="2" w:space="0" w:color="808080"/>
              <w:right w:val="single" w:sz="6" w:space="0" w:color="808080"/>
            </w:tcBorders>
            <w:vAlign w:val="center"/>
          </w:tcPr>
          <w:p>
            <w:pPr>
              <w:pStyle w:val="TableContents"/>
              <w:bidi w:val="0"/>
              <w:jc w:val="right"/>
              <w:rPr/>
            </w:pPr>
            <w:r>
              <w:rPr/>
              <w:t>0</w:t>
            </w:r>
          </w:p>
        </w:tc>
      </w:tr>
      <w:tr>
        <w:trPr/>
        <w:tc>
          <w:tcPr>
            <w:tcW w:w="1025"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Test</w:t>
            </w:r>
          </w:p>
        </w:tc>
        <w:tc>
          <w:tcPr>
            <w:tcW w:w="831" w:type="dxa"/>
            <w:tcBorders>
              <w:left w:val="single" w:sz="2" w:space="0" w:color="808080"/>
              <w:bottom w:val="single" w:sz="2" w:space="0" w:color="808080"/>
              <w:right w:val="single" w:sz="6" w:space="0" w:color="808080"/>
            </w:tcBorders>
            <w:vAlign w:val="center"/>
          </w:tcPr>
          <w:p>
            <w:pPr>
              <w:pStyle w:val="TableContents"/>
              <w:bidi w:val="0"/>
              <w:jc w:val="right"/>
              <w:rPr/>
            </w:pPr>
            <w:r>
              <w:rPr/>
              <w:t>24</w:t>
            </w:r>
          </w:p>
        </w:tc>
        <w:tc>
          <w:tcPr>
            <w:tcW w:w="621" w:type="dxa"/>
            <w:tcBorders>
              <w:left w:val="single" w:sz="2" w:space="0" w:color="808080"/>
              <w:bottom w:val="single" w:sz="2" w:space="0" w:color="808080"/>
              <w:right w:val="single" w:sz="6" w:space="0" w:color="808080"/>
            </w:tcBorders>
            <w:vAlign w:val="center"/>
          </w:tcPr>
          <w:p>
            <w:pPr>
              <w:pStyle w:val="TableContents"/>
              <w:bidi w:val="0"/>
              <w:jc w:val="right"/>
              <w:rPr/>
            </w:pPr>
            <w:r>
              <w:rPr/>
              <w:t>77</w:t>
            </w:r>
          </w:p>
        </w:tc>
        <w:tc>
          <w:tcPr>
            <w:tcW w:w="1251" w:type="dxa"/>
            <w:tcBorders>
              <w:left w:val="single" w:sz="2" w:space="0" w:color="808080"/>
              <w:bottom w:val="single" w:sz="2" w:space="0" w:color="808080"/>
              <w:right w:val="single" w:sz="6" w:space="0" w:color="808080"/>
            </w:tcBorders>
            <w:vAlign w:val="center"/>
          </w:tcPr>
          <w:p>
            <w:pPr>
              <w:pStyle w:val="TableContents"/>
              <w:bidi w:val="0"/>
              <w:jc w:val="right"/>
              <w:rPr/>
            </w:pPr>
            <w:r>
              <w:rPr/>
              <w:t>9.7</w:t>
            </w:r>
          </w:p>
        </w:tc>
        <w:tc>
          <w:tcPr>
            <w:tcW w:w="1041" w:type="dxa"/>
            <w:tcBorders>
              <w:left w:val="single" w:sz="2" w:space="0" w:color="808080"/>
              <w:bottom w:val="single" w:sz="2" w:space="0" w:color="808080"/>
              <w:right w:val="single" w:sz="6" w:space="0" w:color="808080"/>
            </w:tcBorders>
            <w:vAlign w:val="center"/>
          </w:tcPr>
          <w:p>
            <w:pPr>
              <w:pStyle w:val="TableContents"/>
              <w:bidi w:val="0"/>
              <w:jc w:val="right"/>
              <w:rPr/>
            </w:pPr>
            <w:r>
              <w:rPr/>
              <w:t>9.4</w:t>
            </w:r>
          </w:p>
        </w:tc>
        <w:tc>
          <w:tcPr>
            <w:tcW w:w="3231" w:type="dxa"/>
            <w:tcBorders>
              <w:left w:val="single" w:sz="2" w:space="0" w:color="808080"/>
              <w:bottom w:val="single" w:sz="2" w:space="0" w:color="808080"/>
              <w:right w:val="single" w:sz="6" w:space="0" w:color="808080"/>
            </w:tcBorders>
            <w:vAlign w:val="center"/>
          </w:tcPr>
          <w:p>
            <w:pPr>
              <w:pStyle w:val="TableContents"/>
              <w:bidi w:val="0"/>
              <w:jc w:val="right"/>
              <w:rPr/>
            </w:pPr>
            <w:r>
              <w:rPr/>
              <w:t>0</w:t>
            </w:r>
          </w:p>
        </w:tc>
      </w:tr>
      <w:tr>
        <w:trPr/>
        <w:tc>
          <w:tcPr>
            <w:tcW w:w="1025" w:type="dxa"/>
            <w:tcBorders>
              <w:left w:val="single" w:sz="6" w:space="0" w:color="808080"/>
              <w:bottom w:val="single" w:sz="6" w:space="0" w:color="808080"/>
              <w:right w:val="single" w:sz="6" w:space="0" w:color="808080"/>
            </w:tcBorders>
            <w:vAlign w:val="center"/>
          </w:tcPr>
          <w:p>
            <w:pPr>
              <w:pStyle w:val="TableContents"/>
              <w:bidi w:val="0"/>
              <w:jc w:val="left"/>
              <w:rPr>
                <w:b/>
              </w:rPr>
            </w:pPr>
            <w:r>
              <w:rPr>
                <w:b/>
              </w:rPr>
              <w:t>Total</w:t>
            </w:r>
          </w:p>
        </w:tc>
        <w:tc>
          <w:tcPr>
            <w:tcW w:w="831" w:type="dxa"/>
            <w:tcBorders>
              <w:left w:val="single" w:sz="2" w:space="0" w:color="808080"/>
              <w:bottom w:val="single" w:sz="6" w:space="0" w:color="808080"/>
              <w:right w:val="single" w:sz="6" w:space="0" w:color="808080"/>
            </w:tcBorders>
            <w:vAlign w:val="center"/>
          </w:tcPr>
          <w:p>
            <w:pPr>
              <w:pStyle w:val="TableContents"/>
              <w:bidi w:val="0"/>
              <w:jc w:val="right"/>
              <w:rPr>
                <w:b/>
              </w:rPr>
            </w:pPr>
            <w:r>
              <w:rPr>
                <w:b/>
              </w:rPr>
              <w:t>247</w:t>
            </w:r>
          </w:p>
        </w:tc>
        <w:tc>
          <w:tcPr>
            <w:tcW w:w="621" w:type="dxa"/>
            <w:tcBorders>
              <w:left w:val="single" w:sz="2" w:space="0" w:color="808080"/>
              <w:bottom w:val="single" w:sz="6" w:space="0" w:color="808080"/>
              <w:right w:val="single" w:sz="6" w:space="0" w:color="808080"/>
            </w:tcBorders>
            <w:vAlign w:val="center"/>
          </w:tcPr>
          <w:p>
            <w:pPr>
              <w:pStyle w:val="TableContents"/>
              <w:bidi w:val="0"/>
              <w:jc w:val="right"/>
              <w:rPr>
                <w:b/>
              </w:rPr>
            </w:pPr>
            <w:r>
              <w:rPr>
                <w:b/>
              </w:rPr>
              <w:t>819</w:t>
            </w:r>
          </w:p>
        </w:tc>
        <w:tc>
          <w:tcPr>
            <w:tcW w:w="1251" w:type="dxa"/>
            <w:tcBorders>
              <w:left w:val="single" w:sz="2" w:space="0" w:color="808080"/>
              <w:bottom w:val="single" w:sz="6" w:space="0" w:color="808080"/>
              <w:right w:val="single" w:sz="6" w:space="0" w:color="808080"/>
            </w:tcBorders>
            <w:vAlign w:val="center"/>
          </w:tcPr>
          <w:p>
            <w:pPr>
              <w:pStyle w:val="TableContents"/>
              <w:bidi w:val="0"/>
              <w:jc w:val="right"/>
              <w:rPr/>
            </w:pPr>
            <w:r>
              <w:rPr/>
              <w:t>100</w:t>
            </w:r>
          </w:p>
        </w:tc>
        <w:tc>
          <w:tcPr>
            <w:tcW w:w="1041" w:type="dxa"/>
            <w:tcBorders>
              <w:left w:val="single" w:sz="2" w:space="0" w:color="808080"/>
              <w:bottom w:val="single" w:sz="6" w:space="0" w:color="808080"/>
              <w:right w:val="single" w:sz="6" w:space="0" w:color="808080"/>
            </w:tcBorders>
            <w:vAlign w:val="center"/>
          </w:tcPr>
          <w:p>
            <w:pPr>
              <w:pStyle w:val="TableContents"/>
              <w:bidi w:val="0"/>
              <w:jc w:val="right"/>
              <w:rPr/>
            </w:pPr>
            <w:r>
              <w:rPr/>
              <w:t>100</w:t>
            </w:r>
          </w:p>
        </w:tc>
        <w:tc>
          <w:tcPr>
            <w:tcW w:w="3231" w:type="dxa"/>
            <w:tcBorders>
              <w:left w:val="single" w:sz="2" w:space="0" w:color="808080"/>
              <w:bottom w:val="single" w:sz="6" w:space="0" w:color="808080"/>
              <w:right w:val="single" w:sz="6" w:space="0" w:color="808080"/>
            </w:tcBorders>
            <w:vAlign w:val="center"/>
          </w:tcPr>
          <w:p>
            <w:pPr>
              <w:pStyle w:val="TableContents"/>
              <w:bidi w:val="0"/>
              <w:jc w:val="right"/>
              <w:rPr/>
            </w:pPr>
            <w:r>
              <w:rPr/>
              <w:t>—</w:t>
            </w:r>
          </w:p>
        </w:tc>
      </w:tr>
    </w:tbl>
    <w:p>
      <w:pPr>
        <w:pStyle w:val="TextBody"/>
        <w:bidi w:val="0"/>
        <w:spacing w:lineRule="auto" w:line="276" w:before="0" w:after="120"/>
        <w:jc w:val="left"/>
        <w:rPr/>
      </w:pPr>
      <w:r>
        <w:rPr/>
        <w:t> </w:t>
      </w:r>
    </w:p>
    <w:p>
      <w:pPr>
        <w:pStyle w:val="TextBody"/>
        <w:bidi w:val="0"/>
        <w:spacing w:lineRule="auto" w:line="276" w:before="0" w:after="120"/>
        <w:jc w:val="left"/>
        <w:rPr/>
      </w:pPr>
      <w:r>
        <w:rPr/>
        <w:t>While checking this, we found that the manuscript described the split as 80%/10%/10%. The actual proportions are those in the table above, and the text has been corrected. OAI-ZIB contains one scan per subject, so its partitions are disjoint by construction.</w:t>
      </w:r>
    </w:p>
    <w:p>
      <w:pPr>
        <w:pStyle w:val="TextBody"/>
        <w:bidi w:val="0"/>
        <w:spacing w:lineRule="auto" w:line="276" w:before="0" w:after="120"/>
        <w:jc w:val="left"/>
        <w:rPr/>
      </w:pPr>
      <w:r>
        <w:rPr/>
        <w:t>We also clarify which data each stage uses, since the original text was ambiguous:</w:t>
      </w:r>
    </w:p>
    <w:p>
      <w:pPr>
        <w:pStyle w:val="TextBody"/>
        <w:bidi w:val="0"/>
        <w:spacing w:lineRule="auto" w:line="276" w:before="0" w:after="120"/>
        <w:jc w:val="left"/>
        <w:rPr/>
      </w:pPr>
      <w:r>
        <w:rPr/>
        <w:t xml:space="preserve">• </w:t>
      </w:r>
      <w:r>
        <w:rPr>
          <w:i/>
        </w:rPr>
        <w:t>ADNI.</w:t>
      </w:r>
      <w:r>
        <w:rPr/>
        <w:t xml:space="preserve"> Stage-1 codes are learned on the training partition. Codes for validation and test scans are obtained by latent optimization with the frozen decoder, as in DeepSDF, so no held-out subject influences the decoder or pseudo-label discovery.</w:t>
      </w:r>
    </w:p>
    <w:p>
      <w:pPr>
        <w:pStyle w:val="TextBody"/>
        <w:bidi w:val="0"/>
        <w:spacing w:lineRule="auto" w:line="276" w:before="0" w:after="120"/>
        <w:jc w:val="left"/>
        <w:rPr/>
      </w:pPr>
      <w:r>
        <w:rPr/>
        <w:t xml:space="preserve">• </w:t>
      </w:r>
      <w:r>
        <w:rPr>
          <w:i/>
        </w:rPr>
        <w:t>OAI.</w:t>
      </w:r>
      <w:r>
        <w:rPr/>
        <w:t xml:space="preserve"> Stage 1 uses all 234 extracted femur shapes, including 43 without a binary diagnosis label. Stage 1 is unsupervised, so this introduces no label leakage, and all evaluations use the 191 labelled shapes.</w:t>
      </w:r>
    </w:p>
    <w:p>
      <w:pPr>
        <w:pStyle w:val="TextBody"/>
        <w:bidi w:val="0"/>
        <w:spacing w:lineRule="auto" w:line="276" w:before="0" w:after="120"/>
        <w:jc w:val="left"/>
        <w:rPr/>
      </w:pPr>
      <w:r>
        <w:rPr/>
        <w:t xml:space="preserve">• </w:t>
      </w:r>
      <w:r>
        <w:rPr>
          <w:i/>
        </w:rPr>
        <w:t>Pseudo-labels.</w:t>
      </w:r>
      <w:r>
        <w:rPr/>
        <w:t xml:space="preserve"> Pseudo-labels are assigned per scan and are longitudinally consistent: for </w:t>
      </w:r>
      <w:r>
        <w:rPr>
          <w:shd w:fill="FFE699" w:val="clear"/>
        </w:rPr>
        <w:t>87.6%</w:t>
      </w:r>
      <w:r>
        <w:rPr/>
        <w:t xml:space="preserve"> of the ADNI training subjects, all scans fall in the same cluster.</w:t>
      </w:r>
    </w:p>
    <w:p>
      <w:pPr>
        <w:pStyle w:val="TextBody"/>
        <w:bidi w:val="0"/>
        <w:spacing w:lineRule="auto" w:line="276" w:before="0" w:after="120"/>
        <w:jc w:val="left"/>
        <w:rPr/>
      </w:pPr>
      <w:r>
        <w:rPr/>
        <w:t xml:space="preserve">• </w:t>
      </w:r>
      <w:r>
        <w:rPr>
          <w:i/>
        </w:rPr>
        <w:t>Statistics.</w:t>
      </w:r>
      <w:r>
        <w:rPr/>
        <w:t xml:space="preserve"> All resampling in the statistical analysis is done at the subject level, so repeated scans do not inflate precision.</w:t>
      </w:r>
    </w:p>
    <w:p>
      <w:pPr>
        <w:pStyle w:val="TextBody"/>
        <w:bidi w:val="0"/>
        <w:spacing w:lineRule="auto" w:line="276" w:before="0" w:after="120"/>
        <w:jc w:val="left"/>
        <w:rPr/>
      </w:pPr>
      <w:r>
        <w:rPr>
          <w:b/>
        </w:rPr>
        <w:t>Author action:</w:t>
      </w:r>
      <w:r>
        <w:rPr/>
        <w:t xml:space="preserve"> We updated the manuscript by rewriting the dataset-split paragraph of Section IV-A to report the subject and scan counts per partition, the corrected proportions and the data used by each stage, and by adding the mean number of scans per subject to Table 1.</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Reviewer#2, Concern # 2:</w:t>
      </w:r>
      <w:r>
        <w:rPr/>
        <w:t xml:space="preserve"> </w:t>
      </w:r>
      <w:r>
        <w:rPr>
          <w:color w:val="00B050"/>
        </w:rPr>
        <w:t>Report confidence intervals or standard deviations for all key metrics, not only some ablations.</w:t>
      </w:r>
    </w:p>
    <w:p>
      <w:pPr>
        <w:pStyle w:val="TextBody"/>
        <w:bidi w:val="0"/>
        <w:spacing w:lineRule="auto" w:line="276" w:before="0" w:after="120"/>
        <w:jc w:val="left"/>
        <w:rPr/>
      </w:pPr>
      <w:r>
        <w:rPr>
          <w:b/>
        </w:rPr>
        <w:t>Author response:</w:t>
      </w:r>
      <w:r>
        <w:rPr/>
        <w:t xml:space="preserve"> We agree. Dispersion is now reported for every key result:</w:t>
      </w:r>
    </w:p>
    <w:p>
      <w:pPr>
        <w:pStyle w:val="TextBody"/>
        <w:bidi w:val="0"/>
        <w:spacing w:lineRule="auto" w:line="276" w:before="0" w:after="120"/>
        <w:jc w:val="left"/>
        <w:rPr/>
      </w:pPr>
      <w:r>
        <w:rPr/>
        <w:t xml:space="preserve">• </w:t>
      </w:r>
      <w:r>
        <w:rPr>
          <w:i/>
        </w:rPr>
        <w:t>Tables 3 and 4.</w:t>
      </w:r>
      <w:r>
        <w:rPr/>
        <w:t xml:space="preserve"> Mean ± SD over five seeds, with bootstrap SD for deterministic methods and paired significance tests (details in our response to Reviewer 1, Concern 2).</w:t>
      </w:r>
    </w:p>
    <w:p>
      <w:pPr>
        <w:pStyle w:val="TextBody"/>
        <w:bidi w:val="0"/>
        <w:spacing w:lineRule="auto" w:line="276" w:before="0" w:after="120"/>
        <w:jc w:val="left"/>
        <w:rPr/>
      </w:pPr>
      <w:r>
        <w:rPr/>
        <w:t xml:space="preserve">• </w:t>
      </w:r>
      <w:r>
        <w:rPr>
          <w:i/>
        </w:rPr>
        <w:t>Table 2 (stage-1 clustering).</w:t>
      </w:r>
      <w:r>
        <w:rPr/>
        <w:t xml:space="preserve"> 95% subject-level bootstrap confidence intervals for purity, balanced accuracy, κ and ARI. For example, κ is 0.616 (95% CI </w:t>
      </w:r>
      <w:r>
        <w:rPr>
          <w:shd w:fill="FFE699" w:val="clear"/>
        </w:rPr>
        <w:t>[0.53, 0.70]</w:t>
      </w:r>
      <w:r>
        <w:rPr/>
        <w:t xml:space="preserve">) on ADNI and 0.464 (95% CI </w:t>
      </w:r>
      <w:r>
        <w:rPr>
          <w:shd w:fill="FFE699" w:val="clear"/>
        </w:rPr>
        <w:t>[0.33, 0.58]</w:t>
      </w:r>
      <w:r>
        <w:rPr/>
        <w:t>) on OAI.</w:t>
      </w:r>
    </w:p>
    <w:p>
      <w:pPr>
        <w:pStyle w:val="TextBody"/>
        <w:bidi w:val="0"/>
        <w:spacing w:lineRule="auto" w:line="276" w:before="0" w:after="120"/>
        <w:jc w:val="left"/>
        <w:rPr/>
      </w:pPr>
      <w:r>
        <w:rPr/>
        <w:t xml:space="preserve">• </w:t>
      </w:r>
      <w:r>
        <w:rPr>
          <w:i/>
        </w:rPr>
        <w:t>Figures 4 and 5 (label fraction and pseudo-label noise).</w:t>
      </w:r>
      <w:r>
        <w:rPr/>
        <w:t xml:space="preserve"> 95% subject-level bootstrap bands around each point. The pseudo-label noise experiment was re-run so that every point, including the noise-free reference, is produced by the same protocol.</w:t>
      </w:r>
    </w:p>
    <w:p>
      <w:pPr>
        <w:pStyle w:val="TextBody"/>
        <w:bidi w:val="0"/>
        <w:spacing w:lineRule="auto" w:line="276" w:before="0" w:after="120"/>
        <w:jc w:val="left"/>
        <w:rPr/>
      </w:pPr>
      <w:r>
        <w:rPr/>
        <w:t xml:space="preserve">• </w:t>
      </w:r>
      <w:r>
        <w:rPr>
          <w:i/>
        </w:rPr>
        <w:t>New Tables 5 and 6.</w:t>
      </w:r>
      <w:r>
        <w:rPr/>
        <w:t xml:space="preserve"> The traversal validation and the loss-weight sensitivity analysis report the SD over the age grid and over three seeds per setting, respectively.</w:t>
      </w:r>
    </w:p>
    <w:p>
      <w:pPr>
        <w:pStyle w:val="TextBody"/>
        <w:bidi w:val="0"/>
        <w:spacing w:lineRule="auto" w:line="276" w:before="0" w:after="120"/>
        <w:jc w:val="left"/>
        <w:rPr/>
      </w:pPr>
      <w:r>
        <w:rPr/>
        <w:t>With the intervals added, the conclusions of the original manuscript hold on ADNI. On OAI, several between-method differences are now shown to lie within seed variability, and the text has been revised accordingly (see Reviewer 1, Concern 2).</w:t>
      </w:r>
    </w:p>
    <w:p>
      <w:pPr>
        <w:pStyle w:val="TextBody"/>
        <w:bidi w:val="0"/>
        <w:spacing w:lineRule="auto" w:line="276" w:before="0" w:after="120"/>
        <w:jc w:val="left"/>
        <w:rPr/>
      </w:pPr>
      <w:r>
        <w:rPr>
          <w:b/>
        </w:rPr>
        <w:t>Author action:</w:t>
      </w:r>
      <w:r>
        <w:rPr/>
        <w:t xml:space="preserve"> We updated the manuscript by adding standard deviations or 95% confidence intervals to Tables 2–6 and to Figures 4 and 5, and by stating the type of interval in every caption.</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Reviewer#2, Concern # 3:</w:t>
      </w:r>
      <w:r>
        <w:rPr/>
        <w:t xml:space="preserve"> </w:t>
      </w:r>
      <w:r>
        <w:rPr>
          <w:color w:val="00B050"/>
        </w:rPr>
        <w:t>Add more detail on SDF sampling, mesh normalization, GMM cluster assignment, and Optuna search ranges.</w:t>
      </w:r>
    </w:p>
    <w:p>
      <w:pPr>
        <w:pStyle w:val="TextBody"/>
        <w:bidi w:val="0"/>
        <w:spacing w:lineRule="auto" w:line="276" w:before="0" w:after="120"/>
        <w:jc w:val="left"/>
        <w:rPr/>
      </w:pPr>
      <w:r>
        <w:rPr>
          <w:b/>
        </w:rPr>
        <w:t>Author response:</w:t>
      </w:r>
      <w:r>
        <w:rPr/>
        <w:t xml:space="preserve"> We have added these details to Sections III-B, IV-A and IV-B and to a new Appendix A.</w:t>
      </w:r>
    </w:p>
    <w:p>
      <w:pPr>
        <w:pStyle w:val="TextBody"/>
        <w:bidi w:val="0"/>
        <w:spacing w:lineRule="auto" w:line="276" w:before="0" w:after="120"/>
        <w:jc w:val="left"/>
        <w:rPr/>
      </w:pPr>
      <w:r>
        <w:rPr>
          <w:i/>
        </w:rPr>
        <w:t>Mesh extraction and normalization.</w:t>
      </w:r>
      <w:r>
        <w:rPr/>
        <w:t xml:space="preserve"> Each binary mask is converted to a triangular surface mesh by marching cubes at iso-value 0.5, smoothed with three iterations of Laplacian smoothing, and translated so that its centroid lies at the origin. All shapes of a dataset are scaled by one common factor. This preserves relative size, which carries much of the disease signal. The normalization parameters of each shape are stored so that volumes and Chamfer distances can be reported in physical units.</w:t>
      </w:r>
    </w:p>
    <w:p>
      <w:pPr>
        <w:pStyle w:val="TextBody"/>
        <w:bidi w:val="0"/>
        <w:spacing w:lineRule="auto" w:line="276" w:before="0" w:after="120"/>
        <w:jc w:val="left"/>
        <w:rPr/>
      </w:pPr>
      <w:r>
        <w:rPr>
          <w:i/>
        </w:rPr>
        <w:t>SDF sampling.</w:t>
      </w:r>
      <w:r>
        <w:rPr/>
        <w:t xml:space="preserve"> Following DeepSDF, we draw 500,000 query points per shape:</w:t>
      </w:r>
    </w:p>
    <w:p>
      <w:pPr>
        <w:pStyle w:val="TextBody"/>
        <w:bidi w:val="0"/>
        <w:spacing w:lineRule="auto" w:line="276" w:before="0" w:after="120"/>
        <w:jc w:val="left"/>
        <w:rPr/>
      </w:pPr>
      <w:r>
        <w:rPr/>
        <w:t xml:space="preserve">• </w:t>
      </w:r>
      <w:r>
        <w:rPr/>
        <w:t>94% are near-surface points, obtained by perturbing surface samples with zero-mean Gaussian noise at two scales (variances 0.005 and 0.0005);</w:t>
      </w:r>
    </w:p>
    <w:p>
      <w:pPr>
        <w:pStyle w:val="TextBody"/>
        <w:bidi w:val="0"/>
        <w:spacing w:lineRule="auto" w:line="276" w:before="0" w:after="120"/>
        <w:jc w:val="left"/>
        <w:rPr/>
      </w:pPr>
      <w:r>
        <w:rPr/>
        <w:t xml:space="preserve">• </w:t>
      </w:r>
      <w:r>
        <w:rPr/>
        <w:t>6% are sampled uniformly within the normalized bounding volume.</w:t>
      </w:r>
    </w:p>
    <w:p>
      <w:pPr>
        <w:pStyle w:val="TextBody"/>
        <w:bidi w:val="0"/>
        <w:spacing w:lineRule="auto" w:line="276" w:before="0" w:after="120"/>
        <w:jc w:val="left"/>
        <w:rPr/>
      </w:pPr>
      <w:r>
        <w:rPr/>
        <w:t>Signed distances are clamped at δ = 0.1, and each training iteration draws 16,384 points per shape.</w:t>
      </w:r>
    </w:p>
    <w:p>
      <w:pPr>
        <w:pStyle w:val="TextBody"/>
        <w:bidi w:val="0"/>
        <w:spacing w:lineRule="auto" w:line="276" w:before="0" w:after="120"/>
        <w:jc w:val="left"/>
        <w:rPr/>
      </w:pPr>
      <w:r>
        <w:rPr>
          <w:i/>
        </w:rPr>
        <w:t>GMM prior and pseudo-label assignment.</w:t>
      </w:r>
      <w:r>
        <w:rPr/>
        <w:t xml:space="preserve"> The stage-1 prior has two components with diagonal covariances and learnable means and variances. Its mixture weights are fixed and equal (π</w:t>
      </w:r>
      <w:r>
        <w:rPr>
          <w:position w:val="-2"/>
          <w:sz w:val="18"/>
        </w:rPr>
        <w:t>1</w:t>
      </w:r>
      <w:r>
        <w:rPr/>
        <w:t xml:space="preserve"> = π</w:t>
      </w:r>
      <w:r>
        <w:rPr>
          <w:position w:val="-2"/>
          <w:sz w:val="18"/>
        </w:rPr>
        <w:t>2</w:t>
      </w:r>
      <w:r>
        <w:rPr/>
        <w:t xml:space="preserve"> = 0.5), and its standard deviations are initialized at 0.6 and bounded below by 0.5. After stage 1, each shape receives the pseudo-label ỹ</w:t>
      </w:r>
      <w:r>
        <w:rPr>
          <w:position w:val="-2"/>
          <w:sz w:val="18"/>
        </w:rPr>
        <w:t>i</w:t>
      </w:r>
      <w:r>
        <w:rPr/>
        <w:t xml:space="preserve"> = argmax</w:t>
      </w:r>
      <w:r>
        <w:rPr>
          <w:position w:val="-2"/>
          <w:sz w:val="18"/>
        </w:rPr>
        <w:t>m</w:t>
      </w:r>
      <w:r>
        <w:rPr/>
        <w:t xml:space="preserve"> p(m | z</w:t>
      </w:r>
      <w:r>
        <w:rPr>
          <w:position w:val="-2"/>
          <w:sz w:val="18"/>
        </w:rPr>
        <w:t>i</w:t>
      </w:r>
      <w:r>
        <w:rPr/>
        <w:t>) under the learned prior.</w:t>
      </w:r>
    </w:p>
    <w:p>
      <w:pPr>
        <w:pStyle w:val="TextBody"/>
        <w:bidi w:val="0"/>
        <w:spacing w:lineRule="auto" w:line="276" w:before="0" w:after="120"/>
        <w:jc w:val="left"/>
        <w:rPr/>
      </w:pPr>
      <w:r>
        <w:rPr/>
        <w:t>Which cluster is called “disease” does not affect SAP or correlation magnitudes, since both are invariant to this choice. When a name is needed, as in the traversal figures and when pseudo-labels are combined with real labels (Section V-B), we name the clusters as follows. For ADNI, the cluster with the lower mean hippocampal volume is named disease, which requires no diagnosis labels. For OAI, where volume is not diagnostic, clusters are named by majority vote over the 10% labelled subset used in Section V-B. The fixed equal weights are a deliberate choice, which we analyse in our response to Concern 4.</w:t>
      </w:r>
    </w:p>
    <w:p>
      <w:pPr>
        <w:pStyle w:val="TextBody"/>
        <w:bidi w:val="0"/>
        <w:spacing w:lineRule="auto" w:line="276" w:before="0" w:after="120"/>
        <w:jc w:val="left"/>
        <w:rPr/>
      </w:pPr>
      <w:r>
        <w:rPr>
          <w:i/>
        </w:rPr>
        <w:t>Optuna search.</w:t>
      </w:r>
      <w:r>
        <w:rPr/>
        <w:t xml:space="preserve"> The search space, sampler, number of trials, trial length and selection objective are given in Appendix Table A1 and described in our response to Reviewer 1, Concern 3.</w:t>
      </w:r>
    </w:p>
    <w:p>
      <w:pPr>
        <w:pStyle w:val="TextBody"/>
        <w:bidi w:val="0"/>
        <w:spacing w:lineRule="auto" w:line="276" w:before="0" w:after="120"/>
        <w:jc w:val="left"/>
        <w:rPr/>
      </w:pPr>
      <w:r>
        <w:rPr>
          <w:b/>
        </w:rPr>
        <w:t>Author action:</w:t>
      </w:r>
      <w:r>
        <w:rPr/>
        <w:t xml:space="preserve"> We updated the manuscript by adding the GMM configuration and pseudo-label assignment rule to Section III-B, expanding the preprocessing description in Section IV-A, and adding Appendix A (preprocessing and SDF sampling) and Appendix Table A1 (hyperparameter search).</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Reviewer#2, Concern # 4:</w:t>
      </w:r>
      <w:r>
        <w:rPr/>
        <w:t xml:space="preserve"> </w:t>
      </w:r>
      <w:r>
        <w:rPr>
          <w:color w:val="00B050"/>
        </w:rPr>
        <w:t>Discuss how diagnosis imbalance affects pseudo-label discovery and downstream SAP.</w:t>
      </w:r>
    </w:p>
    <w:p>
      <w:pPr>
        <w:pStyle w:val="TextBody"/>
        <w:bidi w:val="0"/>
        <w:spacing w:lineRule="auto" w:line="276" w:before="0" w:after="120"/>
        <w:jc w:val="left"/>
        <w:rPr/>
      </w:pPr>
      <w:r>
        <w:rPr>
          <w:b/>
        </w:rPr>
        <w:t>Author response:</w:t>
      </w:r>
      <w:r>
        <w:rPr/>
        <w:t xml:space="preserve"> We thank the reviewer for this useful question. The two cohorts differ substantially in balance: ADNI is 58.2% CN and 41.8% AD (477 and 342 scans), while OAI is 68.1% healthy and 31.9% OA (130 and 61 shapes). We analysed the effect of this imbalance on discovery and on downstream SAP.</w:t>
      </w:r>
    </w:p>
    <w:p>
      <w:pPr>
        <w:pStyle w:val="TextBody"/>
        <w:bidi w:val="0"/>
        <w:spacing w:lineRule="auto" w:line="276" w:before="0" w:after="120"/>
        <w:jc w:val="left"/>
        <w:rPr/>
      </w:pPr>
      <w:r>
        <w:rPr>
          <w:i/>
        </w:rPr>
        <w:t>Discovery.</w:t>
      </w:r>
      <w:r>
        <w:rPr/>
        <w:t xml:space="preserve"> On OAI, the constrained prior used in our method gives much higher agreement than a standard unconstrained EM fit on the same codes. It reaches purity 75.39% against 68.06% for the unconstrained fit (equal to the class prior), κ 0.464 against 0.310, and ARI 0.250 against 0.085. To isolate the role of the fixed equal weights, we also ran EM with the weights fixed at 0.5 on the same codes. This reaches purity </w:t>
      </w:r>
      <w:r>
        <w:rPr>
          <w:shd w:fill="FFE699" w:val="clear"/>
        </w:rPr>
        <w:t>74.9%</w:t>
      </w:r>
      <w:r>
        <w:rPr/>
        <w:t xml:space="preserve">, κ </w:t>
      </w:r>
      <w:r>
        <w:rPr>
          <w:shd w:fill="FFE699" w:val="clear"/>
        </w:rPr>
        <w:t>0.45</w:t>
      </w:r>
      <w:r>
        <w:rPr/>
        <w:t xml:space="preserve"> and ARI </w:t>
      </w:r>
      <w:r>
        <w:rPr>
          <w:shd w:fill="FFE699" w:val="clear"/>
        </w:rPr>
        <w:t>0.24</w:t>
      </w:r>
      <w:r>
        <w:rPr/>
        <w:t>, close to the in-training prior, so the equal weights account for most of the gain. Their cost is a bias toward balanced cluster sizes: on OAI, 74 shapes are assigned to the disease cluster although only 61 have OA, so 30 healthy shapes carry a disease pseudo-label.</w:t>
      </w:r>
    </w:p>
    <w:p>
      <w:pPr>
        <w:pStyle w:val="TextBody"/>
        <w:bidi w:val="0"/>
        <w:spacing w:lineRule="auto" w:line="276" w:before="0" w:after="120"/>
        <w:jc w:val="left"/>
        <w:rPr/>
      </w:pPr>
      <w:r>
        <w:rPr>
          <w:i/>
        </w:rPr>
        <w:t>Imbalance versus anatomy.</w:t>
      </w:r>
      <w:r>
        <w:rPr/>
        <w:t xml:space="preserve"> To separate the effect of imbalance from that of anatomy, we subsampled ADNI to the OAI class ratio (68:32) in 100 random draws and repeated the discovery. Chance-corrected agreement is largely preserved (κ </w:t>
      </w:r>
      <w:r>
        <w:rPr>
          <w:shd w:fill="FFE699" w:val="clear"/>
        </w:rPr>
        <w:t>0.58 ± 0.04</w:t>
      </w:r>
      <w:r>
        <w:rPr/>
        <w:t xml:space="preserve"> against 0.616), which indicates that the weaker OAI clustering mainly reflects a subtler disease effect on femoral shape rather than the class imbalance itself. Imbalance does, however, lower the precision of the minority cluster, from 78.9% to </w:t>
      </w:r>
      <w:r>
        <w:rPr>
          <w:shd w:fill="FFE699" w:val="clear"/>
        </w:rPr>
        <w:t>66.1 ± 3.0%</w:t>
      </w:r>
      <w:r>
        <w:rPr/>
        <w:t>, which matters for stage 2.</w:t>
      </w:r>
    </w:p>
    <w:p>
      <w:pPr>
        <w:pStyle w:val="TextBody"/>
        <w:bidi w:val="0"/>
        <w:spacing w:lineRule="auto" w:line="276" w:before="0" w:after="120"/>
        <w:jc w:val="left"/>
        <w:rPr/>
      </w:pPr>
      <w:r>
        <w:rPr>
          <w:i/>
        </w:rPr>
        <w:t>Downstream SAP.</w:t>
      </w:r>
      <w:r>
        <w:rPr/>
        <w:t xml:space="preserve"> Imbalance makes the pseudo-label noise asymmetric. On OAI, the disease cluster has a precision of only 59.5% (44 of 74), against 85.5% (100 of 117) for the healthy cluster. On ADNI the two precisions are 78.9% (235 of 298) and 82.9% (330 of 398). The OAI disease coordinate is therefore trained against a disease target that is correct only about 60% of the time. Given the dependence of disease SAP on pseudo-label quality shown in Figure 5, this accounts for much of the smaller SAP gain on OAI.</w:t>
      </w:r>
    </w:p>
    <w:tbl>
      <w:tblPr>
        <w:tblW w:w="10539" w:type="dxa"/>
        <w:jc w:val="left"/>
        <w:tblInd w:w="-7" w:type="dxa"/>
        <w:tblLayout w:type="fixed"/>
        <w:tblCellMar>
          <w:top w:w="60" w:type="dxa"/>
          <w:left w:w="60" w:type="dxa"/>
          <w:bottom w:w="60" w:type="dxa"/>
          <w:right w:w="60" w:type="dxa"/>
        </w:tblCellMar>
      </w:tblPr>
      <w:tblGrid>
        <w:gridCol w:w="3366"/>
        <w:gridCol w:w="910"/>
        <w:gridCol w:w="970"/>
        <w:gridCol w:w="1485"/>
        <w:gridCol w:w="920"/>
        <w:gridCol w:w="920"/>
        <w:gridCol w:w="1968"/>
      </w:tblGrid>
      <w:tr>
        <w:trPr/>
        <w:tc>
          <w:tcPr>
            <w:tcW w:w="3366"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Setting</w:t>
            </w:r>
          </w:p>
        </w:tc>
        <w:tc>
          <w:tcPr>
            <w:tcW w:w="910"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Class ratio</w:t>
            </w:r>
          </w:p>
        </w:tc>
        <w:tc>
          <w:tcPr>
            <w:tcW w:w="970"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Purity</w:t>
            </w:r>
          </w:p>
        </w:tc>
        <w:tc>
          <w:tcPr>
            <w:tcW w:w="1485"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Balanced accuracy</w:t>
            </w:r>
          </w:p>
        </w:tc>
        <w:tc>
          <w:tcPr>
            <w:tcW w:w="920"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κ</w:t>
            </w:r>
          </w:p>
        </w:tc>
        <w:tc>
          <w:tcPr>
            <w:tcW w:w="920"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ARI</w:t>
            </w:r>
          </w:p>
        </w:tc>
        <w:tc>
          <w:tcPr>
            <w:tcW w:w="1968"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Disease-cluster precision</w:t>
            </w:r>
          </w:p>
        </w:tc>
      </w:tr>
      <w:tr>
        <w:trPr/>
        <w:tc>
          <w:tcPr>
            <w:tcW w:w="33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ADNI, training partition</w:t>
            </w:r>
          </w:p>
        </w:tc>
        <w:tc>
          <w:tcPr>
            <w:tcW w:w="910" w:type="dxa"/>
            <w:tcBorders>
              <w:left w:val="single" w:sz="2" w:space="0" w:color="808080"/>
              <w:bottom w:val="single" w:sz="2" w:space="0" w:color="808080"/>
              <w:right w:val="single" w:sz="6" w:space="0" w:color="808080"/>
            </w:tcBorders>
            <w:vAlign w:val="center"/>
          </w:tcPr>
          <w:p>
            <w:pPr>
              <w:pStyle w:val="TableContents"/>
              <w:bidi w:val="0"/>
              <w:jc w:val="right"/>
              <w:rPr/>
            </w:pPr>
            <w:r>
              <w:rPr/>
              <w:t>56:44</w:t>
            </w:r>
          </w:p>
        </w:tc>
        <w:tc>
          <w:tcPr>
            <w:tcW w:w="970" w:type="dxa"/>
            <w:tcBorders>
              <w:left w:val="single" w:sz="2" w:space="0" w:color="808080"/>
              <w:bottom w:val="single" w:sz="2" w:space="0" w:color="808080"/>
              <w:right w:val="single" w:sz="6" w:space="0" w:color="808080"/>
            </w:tcBorders>
            <w:vAlign w:val="center"/>
          </w:tcPr>
          <w:p>
            <w:pPr>
              <w:pStyle w:val="TableContents"/>
              <w:bidi w:val="0"/>
              <w:jc w:val="right"/>
              <w:rPr/>
            </w:pPr>
            <w:r>
              <w:rPr/>
              <w:t>81.18%</w:t>
            </w:r>
          </w:p>
        </w:tc>
        <w:tc>
          <w:tcPr>
            <w:tcW w:w="1485" w:type="dxa"/>
            <w:tcBorders>
              <w:left w:val="single" w:sz="2" w:space="0" w:color="808080"/>
              <w:bottom w:val="single" w:sz="2" w:space="0" w:color="808080"/>
              <w:right w:val="single" w:sz="6" w:space="0" w:color="808080"/>
            </w:tcBorders>
            <w:vAlign w:val="center"/>
          </w:tcPr>
          <w:p>
            <w:pPr>
              <w:pStyle w:val="TableContents"/>
              <w:bidi w:val="0"/>
              <w:jc w:val="right"/>
              <w:rPr/>
            </w:pPr>
            <w:r>
              <w:rPr/>
              <w:t>80.76%</w:t>
            </w:r>
          </w:p>
        </w:tc>
        <w:tc>
          <w:tcPr>
            <w:tcW w:w="920" w:type="dxa"/>
            <w:tcBorders>
              <w:left w:val="single" w:sz="2" w:space="0" w:color="808080"/>
              <w:bottom w:val="single" w:sz="2" w:space="0" w:color="808080"/>
              <w:right w:val="single" w:sz="6" w:space="0" w:color="808080"/>
            </w:tcBorders>
            <w:vAlign w:val="center"/>
          </w:tcPr>
          <w:p>
            <w:pPr>
              <w:pStyle w:val="TableContents"/>
              <w:bidi w:val="0"/>
              <w:jc w:val="right"/>
              <w:rPr/>
            </w:pPr>
            <w:r>
              <w:rPr/>
              <w:t>0.616</w:t>
            </w:r>
          </w:p>
        </w:tc>
        <w:tc>
          <w:tcPr>
            <w:tcW w:w="920" w:type="dxa"/>
            <w:tcBorders>
              <w:left w:val="single" w:sz="2" w:space="0" w:color="808080"/>
              <w:bottom w:val="single" w:sz="2" w:space="0" w:color="808080"/>
              <w:right w:val="single" w:sz="6" w:space="0" w:color="808080"/>
            </w:tcBorders>
            <w:vAlign w:val="center"/>
          </w:tcPr>
          <w:p>
            <w:pPr>
              <w:pStyle w:val="TableContents"/>
              <w:bidi w:val="0"/>
              <w:jc w:val="right"/>
              <w:rPr/>
            </w:pPr>
            <w:r>
              <w:rPr/>
              <w:t>0.388</w:t>
            </w:r>
          </w:p>
        </w:tc>
        <w:tc>
          <w:tcPr>
            <w:tcW w:w="1968" w:type="dxa"/>
            <w:tcBorders>
              <w:left w:val="single" w:sz="2" w:space="0" w:color="808080"/>
              <w:bottom w:val="single" w:sz="2" w:space="0" w:color="808080"/>
              <w:right w:val="single" w:sz="6" w:space="0" w:color="808080"/>
            </w:tcBorders>
            <w:vAlign w:val="center"/>
          </w:tcPr>
          <w:p>
            <w:pPr>
              <w:pStyle w:val="TableContents"/>
              <w:bidi w:val="0"/>
              <w:jc w:val="right"/>
              <w:rPr/>
            </w:pPr>
            <w:r>
              <w:rPr/>
              <w:t>78.9%</w:t>
            </w:r>
          </w:p>
        </w:tc>
      </w:tr>
      <w:tr>
        <w:trPr/>
        <w:tc>
          <w:tcPr>
            <w:tcW w:w="3366"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ADNI, subsampled to OAI ratio (100 draws, mean ± SD)</w:t>
            </w:r>
          </w:p>
        </w:tc>
        <w:tc>
          <w:tcPr>
            <w:tcW w:w="910" w:type="dxa"/>
            <w:tcBorders>
              <w:left w:val="single" w:sz="2" w:space="0" w:color="808080"/>
              <w:bottom w:val="single" w:sz="2" w:space="0" w:color="808080"/>
              <w:right w:val="single" w:sz="6" w:space="0" w:color="808080"/>
            </w:tcBorders>
            <w:vAlign w:val="center"/>
          </w:tcPr>
          <w:p>
            <w:pPr>
              <w:pStyle w:val="TableContents"/>
              <w:bidi w:val="0"/>
              <w:jc w:val="right"/>
              <w:rPr/>
            </w:pPr>
            <w:r>
              <w:rPr/>
              <w:t>68:32</w:t>
            </w:r>
          </w:p>
        </w:tc>
        <w:tc>
          <w:tcPr>
            <w:tcW w:w="970"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81.5 ± 1.6%</w:t>
            </w:r>
          </w:p>
        </w:tc>
        <w:tc>
          <w:tcPr>
            <w:tcW w:w="1485"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79.4 ± 1.8%</w:t>
            </w:r>
          </w:p>
        </w:tc>
        <w:tc>
          <w:tcPr>
            <w:tcW w:w="920"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0.58 ± 0.04</w:t>
            </w:r>
          </w:p>
        </w:tc>
        <w:tc>
          <w:tcPr>
            <w:tcW w:w="920"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0.36 ± 0.03</w:t>
            </w:r>
          </w:p>
        </w:tc>
        <w:tc>
          <w:tcPr>
            <w:tcW w:w="1968"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66.1 ± 3.0%</w:t>
            </w:r>
          </w:p>
        </w:tc>
      </w:tr>
      <w:tr>
        <w:trPr/>
        <w:tc>
          <w:tcPr>
            <w:tcW w:w="3366"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OAI</w:t>
            </w:r>
          </w:p>
        </w:tc>
        <w:tc>
          <w:tcPr>
            <w:tcW w:w="910" w:type="dxa"/>
            <w:tcBorders>
              <w:left w:val="single" w:sz="2" w:space="0" w:color="808080"/>
              <w:bottom w:val="single" w:sz="6" w:space="0" w:color="808080"/>
              <w:right w:val="single" w:sz="6" w:space="0" w:color="808080"/>
            </w:tcBorders>
            <w:vAlign w:val="center"/>
          </w:tcPr>
          <w:p>
            <w:pPr>
              <w:pStyle w:val="TableContents"/>
              <w:bidi w:val="0"/>
              <w:jc w:val="right"/>
              <w:rPr/>
            </w:pPr>
            <w:r>
              <w:rPr/>
              <w:t>68:32</w:t>
            </w:r>
          </w:p>
        </w:tc>
        <w:tc>
          <w:tcPr>
            <w:tcW w:w="970" w:type="dxa"/>
            <w:tcBorders>
              <w:left w:val="single" w:sz="2" w:space="0" w:color="808080"/>
              <w:bottom w:val="single" w:sz="6" w:space="0" w:color="808080"/>
              <w:right w:val="single" w:sz="6" w:space="0" w:color="808080"/>
            </w:tcBorders>
            <w:vAlign w:val="center"/>
          </w:tcPr>
          <w:p>
            <w:pPr>
              <w:pStyle w:val="TableContents"/>
              <w:bidi w:val="0"/>
              <w:jc w:val="right"/>
              <w:rPr/>
            </w:pPr>
            <w:r>
              <w:rPr/>
              <w:t>75.39%</w:t>
            </w:r>
          </w:p>
        </w:tc>
        <w:tc>
          <w:tcPr>
            <w:tcW w:w="1485" w:type="dxa"/>
            <w:tcBorders>
              <w:left w:val="single" w:sz="2" w:space="0" w:color="808080"/>
              <w:bottom w:val="single" w:sz="6" w:space="0" w:color="808080"/>
              <w:right w:val="single" w:sz="6" w:space="0" w:color="808080"/>
            </w:tcBorders>
            <w:vAlign w:val="center"/>
          </w:tcPr>
          <w:p>
            <w:pPr>
              <w:pStyle w:val="TableContents"/>
              <w:bidi w:val="0"/>
              <w:jc w:val="right"/>
              <w:rPr/>
            </w:pPr>
            <w:r>
              <w:rPr/>
              <w:t>74.53%</w:t>
            </w:r>
          </w:p>
        </w:tc>
        <w:tc>
          <w:tcPr>
            <w:tcW w:w="920" w:type="dxa"/>
            <w:tcBorders>
              <w:left w:val="single" w:sz="2" w:space="0" w:color="808080"/>
              <w:bottom w:val="single" w:sz="6" w:space="0" w:color="808080"/>
              <w:right w:val="single" w:sz="6" w:space="0" w:color="808080"/>
            </w:tcBorders>
            <w:vAlign w:val="center"/>
          </w:tcPr>
          <w:p>
            <w:pPr>
              <w:pStyle w:val="TableContents"/>
              <w:bidi w:val="0"/>
              <w:jc w:val="right"/>
              <w:rPr/>
            </w:pPr>
            <w:r>
              <w:rPr/>
              <w:t>0.464</w:t>
            </w:r>
          </w:p>
        </w:tc>
        <w:tc>
          <w:tcPr>
            <w:tcW w:w="920" w:type="dxa"/>
            <w:tcBorders>
              <w:left w:val="single" w:sz="2" w:space="0" w:color="808080"/>
              <w:bottom w:val="single" w:sz="6" w:space="0" w:color="808080"/>
              <w:right w:val="single" w:sz="6" w:space="0" w:color="808080"/>
            </w:tcBorders>
            <w:vAlign w:val="center"/>
          </w:tcPr>
          <w:p>
            <w:pPr>
              <w:pStyle w:val="TableContents"/>
              <w:bidi w:val="0"/>
              <w:jc w:val="right"/>
              <w:rPr/>
            </w:pPr>
            <w:r>
              <w:rPr/>
              <w:t>0.250</w:t>
            </w:r>
          </w:p>
        </w:tc>
        <w:tc>
          <w:tcPr>
            <w:tcW w:w="1968" w:type="dxa"/>
            <w:tcBorders>
              <w:left w:val="single" w:sz="2" w:space="0" w:color="808080"/>
              <w:bottom w:val="single" w:sz="6" w:space="0" w:color="808080"/>
              <w:right w:val="single" w:sz="6" w:space="0" w:color="808080"/>
            </w:tcBorders>
            <w:vAlign w:val="center"/>
          </w:tcPr>
          <w:p>
            <w:pPr>
              <w:pStyle w:val="TableContents"/>
              <w:bidi w:val="0"/>
              <w:jc w:val="right"/>
              <w:rPr/>
            </w:pPr>
            <w:r>
              <w:rPr/>
              <w:t>59.5%</w:t>
            </w:r>
          </w:p>
        </w:tc>
      </w:tr>
    </w:tbl>
    <w:p>
      <w:pPr>
        <w:pStyle w:val="TextBody"/>
        <w:bidi w:val="0"/>
        <w:spacing w:lineRule="auto" w:line="276" w:before="0" w:after="120"/>
        <w:jc w:val="left"/>
        <w:rPr/>
      </w:pPr>
      <w:r>
        <w:rPr/>
        <w:t> </w:t>
      </w:r>
    </w:p>
    <w:p>
      <w:pPr>
        <w:pStyle w:val="TextBody"/>
        <w:bidi w:val="0"/>
        <w:spacing w:lineRule="auto" w:line="276" w:before="0" w:after="120"/>
        <w:jc w:val="left"/>
        <w:rPr/>
      </w:pPr>
      <w:r>
        <w:rPr>
          <w:b/>
        </w:rPr>
        <w:t>Author action:</w:t>
      </w:r>
      <w:r>
        <w:rPr/>
        <w:t xml:space="preserve"> We updated the manuscript by adding a paragraph on the effect of class imbalance to Section V-A. It summarizes the comparison of the constrained and unconstrained priors, the subsampling result and the asymmetric pseudo-label precision.</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Reviewer#2, Concern # 5:</w:t>
      </w:r>
      <w:r>
        <w:rPr/>
        <w:t xml:space="preserve"> </w:t>
      </w:r>
      <w:r>
        <w:rPr>
          <w:color w:val="00B050"/>
        </w:rPr>
        <w:t>Please expand limitations around pseudo-label noise, OAI’s weaker clustering, dataset size, and external clinical validation.</w:t>
      </w:r>
    </w:p>
    <w:p>
      <w:pPr>
        <w:pStyle w:val="TextBody"/>
        <w:bidi w:val="0"/>
        <w:spacing w:lineRule="auto" w:line="276" w:before="0" w:after="120"/>
        <w:jc w:val="left"/>
        <w:rPr/>
      </w:pPr>
      <w:r>
        <w:rPr>
          <w:b/>
        </w:rPr>
        <w:t>Author response:</w:t>
      </w:r>
      <w:r>
        <w:rPr/>
        <w:t xml:space="preserve"> We agree that these limitations deserve a fuller discussion. We have replaced the short limitations paragraph with a dedicated subsection that addresses each point raised by the reviewer:</w:t>
      </w:r>
    </w:p>
    <w:p>
      <w:pPr>
        <w:pStyle w:val="TextBody"/>
        <w:bidi w:val="0"/>
        <w:spacing w:lineRule="auto" w:line="276" w:before="0" w:after="120"/>
        <w:jc w:val="left"/>
        <w:rPr/>
      </w:pPr>
      <w:r>
        <w:rPr/>
        <w:t xml:space="preserve">• </w:t>
      </w:r>
      <w:r>
        <w:rPr>
          <w:i/>
        </w:rPr>
        <w:t>Pseudo-label noise:</w:t>
      </w:r>
      <w:r>
        <w:rPr/>
        <w:t xml:space="preserve"> disease SAP depends on pseudo-label quality (Figure 5), so the method depends on how strongly the shape code carries the disease signal.</w:t>
      </w:r>
    </w:p>
    <w:p>
      <w:pPr>
        <w:pStyle w:val="TextBody"/>
        <w:bidi w:val="0"/>
        <w:spacing w:lineRule="auto" w:line="276" w:before="0" w:after="120"/>
        <w:jc w:val="left"/>
        <w:rPr/>
      </w:pPr>
      <w:r>
        <w:rPr/>
        <w:t xml:space="preserve">• </w:t>
      </w:r>
      <w:r>
        <w:rPr>
          <w:i/>
        </w:rPr>
        <w:t>OAI’s weaker clustering:</w:t>
      </w:r>
      <w:r>
        <w:rPr/>
        <w:t xml:space="preserve"> the OAI pseudo-labels are noisier (balanced accuracy 74.5% against 80.8% on ADNI; disease-cluster precision 59.5%), and the gains on that cohort are smaller and partly non-significant.</w:t>
      </w:r>
    </w:p>
    <w:p>
      <w:pPr>
        <w:pStyle w:val="TextBody"/>
        <w:bidi w:val="0"/>
        <w:spacing w:lineRule="auto" w:line="276" w:before="0" w:after="120"/>
        <w:jc w:val="left"/>
        <w:rPr/>
      </w:pPr>
      <w:r>
        <w:rPr/>
        <w:t xml:space="preserve">• </w:t>
      </w:r>
      <w:r>
        <w:rPr>
          <w:i/>
        </w:rPr>
        <w:t>Dataset size:</w:t>
      </w:r>
      <w:r>
        <w:rPr/>
        <w:t xml:space="preserve"> the cohorts are modest (247 and 191 subjects), the ADNI test partition has only 24 subjects, and some between-method differences fall within seed variability.</w:t>
      </w:r>
    </w:p>
    <w:p>
      <w:pPr>
        <w:pStyle w:val="TextBody"/>
        <w:bidi w:val="0"/>
        <w:spacing w:lineRule="auto" w:line="276" w:before="0" w:after="120"/>
        <w:jc w:val="left"/>
        <w:rPr/>
      </w:pPr>
      <w:r>
        <w:rPr/>
        <w:t xml:space="preserve">• </w:t>
      </w:r>
      <w:r>
        <w:rPr>
          <w:i/>
        </w:rPr>
        <w:t>External clinical validation:</w:t>
      </w:r>
      <w:r>
        <w:rPr/>
        <w:t xml:space="preserve"> the method has not been tested on an independent external cohort, and the clinical relevance of the learned factors was assessed through hippocampal volume rather than cognitive scores or longitudinal progression.</w:t>
      </w:r>
    </w:p>
    <w:p>
      <w:pPr>
        <w:pStyle w:val="TextBody"/>
        <w:bidi w:val="0"/>
        <w:spacing w:lineRule="auto" w:line="276" w:before="0" w:after="120"/>
        <w:jc w:val="left"/>
        <w:rPr/>
      </w:pPr>
      <w:r>
        <w:rPr/>
        <w:t>The subsection also covers two further limitations: discovery assumes two groups, so intermediate stages such as MCI are not evaluated, and model selection uses diagnosis labels on a small held-out subset.</w:t>
      </w:r>
    </w:p>
    <w:p>
      <w:pPr>
        <w:pStyle w:val="TextBody"/>
        <w:bidi w:val="0"/>
        <w:spacing w:lineRule="auto" w:line="276" w:before="0" w:after="120"/>
        <w:jc w:val="left"/>
        <w:rPr/>
      </w:pPr>
      <w:r>
        <w:rPr>
          <w:b/>
        </w:rPr>
        <w:t>Author action:</w:t>
      </w:r>
      <w:r>
        <w:rPr/>
        <w:t xml:space="preserve"> We updated the manuscript by adding Section VI-A (Limitations), and by extending the future work in Section VII to include MCI-inclusive discovery and validation on external cohorts such as AIBL and OASIS-3.</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Reviewer#2, Concern # 6:</w:t>
      </w:r>
      <w:r>
        <w:rPr/>
        <w:t xml:space="preserve"> </w:t>
      </w:r>
      <w:r>
        <w:rPr>
          <w:color w:val="00B050"/>
        </w:rPr>
        <w:t>Add quantitative clinical validation of latent traversals if feasible.</w:t>
      </w:r>
    </w:p>
    <w:p>
      <w:pPr>
        <w:pStyle w:val="TextBody"/>
        <w:bidi w:val="0"/>
        <w:spacing w:lineRule="auto" w:line="276" w:before="0" w:after="120"/>
        <w:jc w:val="left"/>
        <w:rPr/>
      </w:pPr>
      <w:r>
        <w:rPr>
          <w:b/>
        </w:rPr>
        <w:t>Author response:</w:t>
      </w:r>
      <w:r>
        <w:rPr/>
        <w:t xml:space="preserve"> We thank the reviewer for this suggestion. We added a quantitative validation of the latent traversals against cohort statistics and independent predictors, covering both factors.</w:t>
      </w:r>
    </w:p>
    <w:p>
      <w:pPr>
        <w:pStyle w:val="TextBody"/>
        <w:bidi w:val="0"/>
        <w:spacing w:lineRule="auto" w:line="276" w:before="0" w:after="120"/>
        <w:jc w:val="left"/>
        <w:rPr/>
      </w:pPr>
      <w:r>
        <w:rPr>
          <w:i/>
        </w:rPr>
        <w:t>Disease factor.</w:t>
      </w:r>
      <w:r>
        <w:rPr/>
        <w:t xml:space="preserve"> At matched age, traversing the disease coordinate reduces generated volume by </w:t>
      </w:r>
      <w:r>
        <w:rPr>
          <w:shd w:fill="FFE699" w:val="clear"/>
        </w:rPr>
        <w:t>19.9 ± 3.0%</w:t>
      </w:r>
      <w:r>
        <w:rPr/>
        <w:t xml:space="preserve"> for the pseudo-label model. The measured cohort difference is 27.6% (26.3% averaged per subject). The generator therefore reproduces the direction and most of the magnitude of disease-related atrophy (see also Reviewer 1, Concern 6).</w:t>
      </w:r>
    </w:p>
    <w:p>
      <w:pPr>
        <w:pStyle w:val="TextBody"/>
        <w:bidi w:val="0"/>
        <w:spacing w:lineRule="auto" w:line="276" w:before="0" w:after="120"/>
        <w:jc w:val="left"/>
        <w:rPr/>
      </w:pPr>
      <w:r>
        <w:rPr>
          <w:i/>
        </w:rPr>
        <w:t>Aging factor.</w:t>
      </w:r>
      <w:r>
        <w:rPr/>
        <w:t xml:space="preserve"> In the cohort, hippocampal volume declines with age in both groups, by about 0.51% of mean volume per year in CN and 0.85% per year in AD (r = −0.18 and r = −0.27, respectively). Traversing the age coordinate produces generated declines of </w:t>
      </w:r>
      <w:r>
        <w:rPr>
          <w:shd w:fill="FFE699" w:val="clear"/>
        </w:rPr>
        <w:t>0.26%</w:t>
      </w:r>
      <w:r>
        <w:rPr/>
        <w:t xml:space="preserve"> per year for CN and </w:t>
      </w:r>
      <w:r>
        <w:rPr>
          <w:shd w:fill="FFE699" w:val="clear"/>
        </w:rPr>
        <w:t>0.54%</w:t>
      </w:r>
      <w:r>
        <w:rPr/>
        <w:t xml:space="preserve"> per year for AD. The generator thus reproduces faster atrophy in AD than in CN, although it underestimates both rates, particularly in CN; we report this in the limitations.</w:t>
      </w:r>
    </w:p>
    <w:p>
      <w:pPr>
        <w:pStyle w:val="TextBody"/>
        <w:bidi w:val="0"/>
        <w:spacing w:lineRule="auto" w:line="276" w:before="0" w:after="120"/>
        <w:jc w:val="left"/>
        <w:rPr/>
      </w:pPr>
      <w:r>
        <w:rPr>
          <w:i/>
        </w:rPr>
        <w:t>Factor fidelity.</w:t>
      </w:r>
      <w:r>
        <w:rPr/>
        <w:t xml:space="preserve"> A classifier and an age regressor were trained on real stage-1 codes only and then applied to the generated codes:</w:t>
      </w:r>
    </w:p>
    <w:p>
      <w:pPr>
        <w:pStyle w:val="TextBody"/>
        <w:bidi w:val="0"/>
        <w:spacing w:lineRule="auto" w:line="276" w:before="0" w:after="120"/>
        <w:jc w:val="left"/>
        <w:rPr/>
      </w:pPr>
      <w:r>
        <w:rPr/>
        <w:t xml:space="preserve">• </w:t>
      </w:r>
      <w:r>
        <w:rPr>
          <w:shd w:fill="FFE699" w:val="clear"/>
        </w:rPr>
        <w:t>91.3%</w:t>
      </w:r>
      <w:r>
        <w:rPr/>
        <w:t xml:space="preserve"> of shapes generated at the disease end of the disease coordinate are classified as AD, against </w:t>
      </w:r>
      <w:r>
        <w:rPr>
          <w:shd w:fill="FFE699" w:val="clear"/>
        </w:rPr>
        <w:t>6.8%</w:t>
      </w:r>
      <w:r>
        <w:rPr/>
        <w:t xml:space="preserve"> at the healthy end.</w:t>
      </w:r>
    </w:p>
    <w:p>
      <w:pPr>
        <w:pStyle w:val="TextBody"/>
        <w:bidi w:val="0"/>
        <w:spacing w:lineRule="auto" w:line="276" w:before="0" w:after="120"/>
        <w:jc w:val="left"/>
        <w:rPr/>
      </w:pPr>
      <w:r>
        <w:rPr/>
        <w:t xml:space="preserve">• </w:t>
      </w:r>
      <w:r>
        <w:rPr/>
        <w:t xml:space="preserve">The predicted age of generated shapes correlates with the traversal age at r = </w:t>
      </w:r>
      <w:r>
        <w:rPr>
          <w:shd w:fill="FFE699" w:val="clear"/>
        </w:rPr>
        <w:t>0.94</w:t>
      </w:r>
      <w:r>
        <w:rPr/>
        <w:t>.</w:t>
      </w:r>
    </w:p>
    <w:p>
      <w:pPr>
        <w:pStyle w:val="TextBody"/>
        <w:bidi w:val="0"/>
        <w:spacing w:lineRule="auto" w:line="276" w:before="0" w:after="120"/>
        <w:jc w:val="left"/>
        <w:rPr/>
      </w:pPr>
      <w:r>
        <w:rPr/>
        <w:t xml:space="preserve">• </w:t>
      </w:r>
      <w:r>
        <w:rPr/>
        <w:t xml:space="preserve">Traversing age at a fixed disease coordinate changes the predicted AD probability by at most </w:t>
      </w:r>
      <w:r>
        <w:rPr>
          <w:shd w:fill="FFE699" w:val="clear"/>
        </w:rPr>
        <w:t>0.04</w:t>
      </w:r>
      <w:r>
        <w:rPr/>
        <w:t>, which indicates limited leakage between the two factors.</w:t>
      </w:r>
    </w:p>
    <w:p>
      <w:pPr>
        <w:pStyle w:val="TextBody"/>
        <w:bidi w:val="0"/>
        <w:spacing w:lineRule="auto" w:line="276" w:before="0" w:after="120"/>
        <w:jc w:val="left"/>
        <w:rPr/>
      </w:pPr>
      <w:r>
        <w:rPr/>
        <w:t>A regional analysis, such as subfield-specific atrophy, would require point correspondence between shapes, which implicit representations do not directly provide. We note this as future work.</w:t>
      </w:r>
    </w:p>
    <w:p>
      <w:pPr>
        <w:pStyle w:val="TextBody"/>
        <w:bidi w:val="0"/>
        <w:spacing w:lineRule="auto" w:line="276" w:before="0" w:after="120"/>
        <w:jc w:val="left"/>
        <w:rPr/>
      </w:pPr>
      <w:r>
        <w:rPr>
          <w:b/>
        </w:rPr>
        <w:t>Author action:</w:t>
      </w:r>
      <w:r>
        <w:rPr/>
        <w:t xml:space="preserve"> We updated the manuscript by adding a quantitative validation of the traversals to Section V-D. The disease-related volume difference, the age-related atrophy rates and the factor-fidelity results are reported in the new Table 5.</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Reviewer#2, Concern # 7:</w:t>
      </w:r>
      <w:r>
        <w:rPr/>
        <w:t xml:space="preserve"> </w:t>
      </w:r>
      <w:r>
        <w:rPr>
          <w:color w:val="00B050"/>
        </w:rPr>
        <w:t>Fix template metadata and minor wording issues before publication.</w:t>
      </w:r>
    </w:p>
    <w:p>
      <w:pPr>
        <w:pStyle w:val="TextBody"/>
        <w:bidi w:val="0"/>
        <w:spacing w:lineRule="auto" w:line="276" w:before="0" w:after="120"/>
        <w:jc w:val="left"/>
        <w:rPr/>
      </w:pPr>
      <w:r>
        <w:rPr>
          <w:b/>
        </w:rPr>
        <w:t>Author response:</w:t>
      </w:r>
      <w:r>
        <w:rPr/>
        <w:t xml:space="preserve"> We thank the reviewer. We corrected the template metadata and proofread the full manuscript. The main corrections are:</w:t>
      </w:r>
    </w:p>
    <w:p>
      <w:pPr>
        <w:pStyle w:val="TextBody"/>
        <w:bidi w:val="0"/>
        <w:spacing w:lineRule="auto" w:line="276" w:before="0" w:after="120"/>
        <w:jc w:val="left"/>
        <w:rPr/>
      </w:pPr>
      <w:r>
        <w:rPr/>
        <w:t xml:space="preserve">• </w:t>
      </w:r>
      <w:r>
        <w:rPr/>
        <w:t>template placeholders in the running footer (“VOLUME 11, 2023”), the publication and revision dates, and the DOI;</w:t>
      </w:r>
    </w:p>
    <w:p>
      <w:pPr>
        <w:pStyle w:val="TextBody"/>
        <w:bidi w:val="0"/>
        <w:spacing w:lineRule="auto" w:line="276" w:before="0" w:after="120"/>
        <w:jc w:val="left"/>
        <w:rPr/>
      </w:pPr>
      <w:r>
        <w:rPr/>
        <w:t xml:space="preserve">• </w:t>
      </w:r>
      <w:r>
        <w:rPr/>
        <w:t>the generic statement “available at GitHub”, now replaced by the repository URL;</w:t>
      </w:r>
    </w:p>
    <w:p>
      <w:pPr>
        <w:pStyle w:val="TextBody"/>
        <w:bidi w:val="0"/>
        <w:spacing w:lineRule="auto" w:line="276" w:before="0" w:after="120"/>
        <w:jc w:val="left"/>
        <w:rPr/>
      </w:pPr>
      <w:r>
        <w:rPr/>
        <w:t xml:space="preserve">• </w:t>
      </w:r>
      <w:r>
        <w:rPr/>
        <w:t>a duplicated name (“DANA COBZAS DANA COBZAS”) and a capitalization error (“Previously, He worked”) in the biographies;</w:t>
      </w:r>
    </w:p>
    <w:p>
      <w:pPr>
        <w:pStyle w:val="TextBody"/>
        <w:bidi w:val="0"/>
        <w:spacing w:lineRule="auto" w:line="276" w:before="0" w:after="120"/>
        <w:jc w:val="left"/>
        <w:rPr/>
      </w:pPr>
      <w:r>
        <w:rPr/>
        <w:t xml:space="preserve">• </w:t>
      </w:r>
      <w:r>
        <w:rPr/>
        <w:t>a hyphenation error (“dis- entanglement”) in the Figure 5 caption and a broken ΔV symbol in the Table 2 caption;</w:t>
      </w:r>
    </w:p>
    <w:p>
      <w:pPr>
        <w:pStyle w:val="TextBody"/>
        <w:bidi w:val="0"/>
        <w:spacing w:lineRule="auto" w:line="276" w:before="0" w:after="120"/>
        <w:jc w:val="left"/>
        <w:rPr/>
      </w:pPr>
      <w:r>
        <w:rPr/>
        <w:t xml:space="preserve">• </w:t>
      </w:r>
      <w:r>
        <w:rPr/>
        <w:t>grammatical errors (“Fig. 6 and Fig. 7 illustrates” → “illustrate”; “a smaller but a developing line” → “a smaller but developing line”) and notation (“Th = .05”);</w:t>
      </w:r>
    </w:p>
    <w:p>
      <w:pPr>
        <w:pStyle w:val="TextBody"/>
        <w:bidi w:val="0"/>
        <w:spacing w:lineRule="auto" w:line="276" w:before="0" w:after="120"/>
        <w:jc w:val="left"/>
        <w:rPr/>
      </w:pPr>
      <w:r>
        <w:rPr/>
        <w:t xml:space="preserve">• </w:t>
      </w:r>
      <w:r>
        <w:rPr/>
        <w:t>an inconsistency between Section IV-A, which described the images as 1 mm isotropic, and Table 1, which lists the source resolution; the text now states that the masks were resampled to 1 mm isotropic;</w:t>
      </w:r>
    </w:p>
    <w:p>
      <w:pPr>
        <w:pStyle w:val="TextBody"/>
        <w:bidi w:val="0"/>
        <w:spacing w:lineRule="auto" w:line="276" w:before="0" w:after="120"/>
        <w:jc w:val="left"/>
        <w:rPr/>
      </w:pPr>
      <w:r>
        <w:rPr/>
        <w:t xml:space="preserve">• </w:t>
      </w:r>
      <w:r>
        <w:rPr/>
        <w:t>overstatements such as “the proposed framework is very effective” in Section VI;</w:t>
      </w:r>
    </w:p>
    <w:p>
      <w:pPr>
        <w:pStyle w:val="TextBody"/>
        <w:bidi w:val="0"/>
        <w:spacing w:lineRule="auto" w:line="276" w:before="0" w:after="120"/>
        <w:jc w:val="left"/>
        <w:rPr/>
      </w:pPr>
      <w:r>
        <w:rPr/>
        <w:t xml:space="preserve">• </w:t>
      </w:r>
      <w:r>
        <w:rPr/>
        <w:t>the “N/A” entries for HLLE+ICA in Table 4, now explained in the caption (HLLE provides no inverse mapping from the embedding back to shape codes);</w:t>
      </w:r>
    </w:p>
    <w:p>
      <w:pPr>
        <w:pStyle w:val="TextBody"/>
        <w:bidi w:val="0"/>
        <w:spacing w:lineRule="auto" w:line="276" w:before="0" w:after="120"/>
        <w:jc w:val="left"/>
        <w:rPr/>
      </w:pPr>
      <w:r>
        <w:rPr/>
        <w:t xml:space="preserve">• </w:t>
      </w:r>
      <w:r>
        <w:rPr/>
        <w:t>an orphaned section heading at the foot of page 3.</w:t>
      </w:r>
    </w:p>
    <w:p>
      <w:pPr>
        <w:pStyle w:val="TextBody"/>
        <w:bidi w:val="0"/>
        <w:spacing w:lineRule="auto" w:line="276" w:before="0" w:after="120"/>
        <w:jc w:val="left"/>
        <w:rPr/>
      </w:pPr>
      <w:r>
        <w:rPr>
          <w:b/>
        </w:rPr>
        <w:t>Author action:</w:t>
      </w:r>
      <w:r>
        <w:rPr/>
        <w:t xml:space="preserve"> We updated the manuscript by correcting all of the items above. Every correction is highlighted in yellow in the Highlighted PDF.</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Reviewer#3, General comment:</w:t>
      </w:r>
      <w:r>
        <w:rPr/>
        <w:t xml:space="preserve"> </w:t>
      </w:r>
      <w:r>
        <w:rPr>
          <w:color w:val="00B050"/>
        </w:rPr>
        <w:t>This paper addresses the core pain points in 3D medical shape analysis, namely the entanglement of disease effects and physiological aging effects, as well as the scarcity of diagnostic labels. It proposes a two-stage self-supervised decoupling framework that effectively separates disease and aging morphological features in scenarios with no or few diagnostic labels. This is a high-quality work in the field of medical image shape modeling with innovative and practical value. The overall research logic is rigorous, and the experimental verification is sufficient. After minor revision, it can meet the standards for journal publication.</w:t>
      </w:r>
    </w:p>
    <w:p>
      <w:pPr>
        <w:pStyle w:val="TextBody"/>
        <w:bidi w:val="0"/>
        <w:spacing w:lineRule="auto" w:line="276" w:before="0" w:after="120"/>
        <w:jc w:val="left"/>
        <w:rPr/>
      </w:pPr>
      <w:r>
        <w:rPr>
          <w:b/>
        </w:rPr>
        <w:t>Author response:</w:t>
      </w:r>
      <w:r>
        <w:rPr/>
        <w:t xml:space="preserve"> We thank the reviewer for this positive evaluation and for the three suggestions, which we address below.</w:t>
      </w:r>
    </w:p>
    <w:p>
      <w:pPr>
        <w:pStyle w:val="TextBody"/>
        <w:bidi w:val="0"/>
        <w:spacing w:lineRule="auto" w:line="276" w:before="0" w:after="120"/>
        <w:jc w:val="left"/>
        <w:rPr/>
      </w:pPr>
      <w:r>
        <w:rPr>
          <w:b/>
        </w:rPr>
        <w:t>Author action:</w:t>
      </w:r>
      <w:r>
        <w:rPr/>
        <w:t xml:space="preserve"> No change was required for this comment.</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Reviewer#3, Concern # 1:</w:t>
      </w:r>
      <w:r>
        <w:rPr/>
        <w:t xml:space="preserve"> </w:t>
      </w:r>
      <w:r>
        <w:rPr>
          <w:color w:val="00B050"/>
        </w:rPr>
        <w:t>The pseudo-label generation in the first stage currently relies on a two-component Gaussian mixture clustering method, which only supports binary classification of health/illness in disease scenarios and cannot adapt to complex clinical scenarios with multiple disease stages (such as three classifications of normal cognition/mild cognitive impairment/alzheimer's disease) or multiple coexisting diseases. It is recommended to expand support for multi-component clustering schemes or introduce more flexible unsupervised clustering algorithms to enhance the method's adaptability to complex clinical scenarios.</w:t>
      </w:r>
    </w:p>
    <w:p>
      <w:pPr>
        <w:pStyle w:val="TextBody"/>
        <w:bidi w:val="0"/>
        <w:spacing w:lineRule="auto" w:line="276" w:before="0" w:after="120"/>
        <w:jc w:val="left"/>
        <w:rPr/>
      </w:pPr>
      <w:r>
        <w:rPr>
          <w:b/>
        </w:rPr>
        <w:t>Author response:</w:t>
      </w:r>
      <w:r>
        <w:rPr/>
        <w:t xml:space="preserve"> We thank the reviewer. The framework is not restricted to two components. The number of components K is a parameter of both the stage-1 mixture prior and the assignment step, and the stage-2 SNNL objective is defined through label equality (τ = 0), so it accepts any number of classes. We used K = 2 because both cohorts are binary by design; MCI was excluded from the ADNI cohort.</w:t>
      </w:r>
    </w:p>
    <w:p>
      <w:pPr>
        <w:pStyle w:val="TextBody"/>
        <w:bidi w:val="0"/>
        <w:spacing w:lineRule="auto" w:line="276" w:before="0" w:after="120"/>
        <w:jc w:val="left"/>
        <w:rPr/>
      </w:pPr>
      <w:r>
        <w:rPr/>
        <w:t>To examine the choice of K and the dependence on the clustering algorithm, we clustered the same stage-1 codes with Gaussian mixtures for K = 2–4 and with three alternative algorithms. Purity is not comparable across different numbers of clusters, because it tends to rise as clusters are added, so we use ARI as the primary criterion.</w:t>
      </w:r>
    </w:p>
    <w:tbl>
      <w:tblPr>
        <w:tblW w:w="7589" w:type="dxa"/>
        <w:jc w:val="left"/>
        <w:tblInd w:w="-7" w:type="dxa"/>
        <w:tblLayout w:type="fixed"/>
        <w:tblCellMar>
          <w:top w:w="60" w:type="dxa"/>
          <w:left w:w="60" w:type="dxa"/>
          <w:bottom w:w="60" w:type="dxa"/>
          <w:right w:w="60" w:type="dxa"/>
        </w:tblCellMar>
      </w:tblPr>
      <w:tblGrid>
        <w:gridCol w:w="3410"/>
        <w:gridCol w:w="1191"/>
        <w:gridCol w:w="1011"/>
        <w:gridCol w:w="1071"/>
        <w:gridCol w:w="906"/>
      </w:tblGrid>
      <w:tr>
        <w:trPr/>
        <w:tc>
          <w:tcPr>
            <w:tcW w:w="3410"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Clustering of stage-1 codes</w:t>
            </w:r>
          </w:p>
        </w:tc>
        <w:tc>
          <w:tcPr>
            <w:tcW w:w="119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ADNI purity</w:t>
            </w:r>
          </w:p>
        </w:tc>
        <w:tc>
          <w:tcPr>
            <w:tcW w:w="101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ADNI ARI</w:t>
            </w:r>
          </w:p>
        </w:tc>
        <w:tc>
          <w:tcPr>
            <w:tcW w:w="107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OAI purity</w:t>
            </w:r>
          </w:p>
        </w:tc>
        <w:tc>
          <w:tcPr>
            <w:tcW w:w="90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OAI ARI</w:t>
            </w:r>
          </w:p>
        </w:tc>
      </w:tr>
      <w:tr>
        <w:trPr/>
        <w:tc>
          <w:tcPr>
            <w:tcW w:w="34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GMM, K = 2 (unconstrained EM)</w:t>
            </w:r>
          </w:p>
        </w:tc>
        <w:tc>
          <w:tcPr>
            <w:tcW w:w="1191" w:type="dxa"/>
            <w:tcBorders>
              <w:left w:val="single" w:sz="2" w:space="0" w:color="808080"/>
              <w:bottom w:val="single" w:sz="2" w:space="0" w:color="808080"/>
              <w:right w:val="single" w:sz="6" w:space="0" w:color="808080"/>
            </w:tcBorders>
            <w:vAlign w:val="center"/>
          </w:tcPr>
          <w:p>
            <w:pPr>
              <w:pStyle w:val="TableContents"/>
              <w:bidi w:val="0"/>
              <w:jc w:val="right"/>
              <w:rPr/>
            </w:pPr>
            <w:r>
              <w:rPr/>
              <w:t>81.90%</w:t>
            </w:r>
          </w:p>
        </w:tc>
        <w:tc>
          <w:tcPr>
            <w:tcW w:w="1011" w:type="dxa"/>
            <w:tcBorders>
              <w:left w:val="single" w:sz="2" w:space="0" w:color="808080"/>
              <w:bottom w:val="single" w:sz="2" w:space="0" w:color="808080"/>
              <w:right w:val="single" w:sz="6" w:space="0" w:color="808080"/>
            </w:tcBorders>
            <w:vAlign w:val="center"/>
          </w:tcPr>
          <w:p>
            <w:pPr>
              <w:pStyle w:val="TableContents"/>
              <w:bidi w:val="0"/>
              <w:jc w:val="right"/>
              <w:rPr/>
            </w:pPr>
            <w:r>
              <w:rPr/>
              <w:t>0.406</w:t>
            </w:r>
          </w:p>
        </w:tc>
        <w:tc>
          <w:tcPr>
            <w:tcW w:w="1071" w:type="dxa"/>
            <w:tcBorders>
              <w:left w:val="single" w:sz="2" w:space="0" w:color="808080"/>
              <w:bottom w:val="single" w:sz="2" w:space="0" w:color="808080"/>
              <w:right w:val="single" w:sz="6" w:space="0" w:color="808080"/>
            </w:tcBorders>
            <w:vAlign w:val="center"/>
          </w:tcPr>
          <w:p>
            <w:pPr>
              <w:pStyle w:val="TableContents"/>
              <w:bidi w:val="0"/>
              <w:jc w:val="right"/>
              <w:rPr/>
            </w:pPr>
            <w:r>
              <w:rPr/>
              <w:t>68.06%</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pPr>
            <w:r>
              <w:rPr/>
              <w:t>0.085</w:t>
            </w:r>
          </w:p>
        </w:tc>
      </w:tr>
      <w:tr>
        <w:trPr/>
        <w:tc>
          <w:tcPr>
            <w:tcW w:w="34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GMM, K = 3</w:t>
            </w:r>
          </w:p>
        </w:tc>
        <w:tc>
          <w:tcPr>
            <w:tcW w:w="1191" w:type="dxa"/>
            <w:tcBorders>
              <w:left w:val="single" w:sz="2" w:space="0" w:color="808080"/>
              <w:bottom w:val="single" w:sz="2" w:space="0" w:color="808080"/>
              <w:right w:val="single" w:sz="6" w:space="0" w:color="808080"/>
            </w:tcBorders>
            <w:vAlign w:val="center"/>
          </w:tcPr>
          <w:p>
            <w:pPr>
              <w:pStyle w:val="TableContents"/>
              <w:bidi w:val="0"/>
              <w:jc w:val="right"/>
              <w:rPr/>
            </w:pPr>
            <w:r>
              <w:rPr/>
              <w:t>79.89%</w:t>
            </w:r>
          </w:p>
        </w:tc>
        <w:tc>
          <w:tcPr>
            <w:tcW w:w="1011" w:type="dxa"/>
            <w:tcBorders>
              <w:left w:val="single" w:sz="2" w:space="0" w:color="808080"/>
              <w:bottom w:val="single" w:sz="2" w:space="0" w:color="808080"/>
              <w:right w:val="single" w:sz="6" w:space="0" w:color="808080"/>
            </w:tcBorders>
            <w:vAlign w:val="center"/>
          </w:tcPr>
          <w:p>
            <w:pPr>
              <w:pStyle w:val="TableContents"/>
              <w:bidi w:val="0"/>
              <w:jc w:val="right"/>
              <w:rPr/>
            </w:pPr>
            <w:r>
              <w:rPr/>
              <w:t>0.230</w:t>
            </w:r>
          </w:p>
        </w:tc>
        <w:tc>
          <w:tcPr>
            <w:tcW w:w="1071" w:type="dxa"/>
            <w:tcBorders>
              <w:left w:val="single" w:sz="2" w:space="0" w:color="808080"/>
              <w:bottom w:val="single" w:sz="2" w:space="0" w:color="808080"/>
              <w:right w:val="single" w:sz="6" w:space="0" w:color="808080"/>
            </w:tcBorders>
            <w:vAlign w:val="center"/>
          </w:tcPr>
          <w:p>
            <w:pPr>
              <w:pStyle w:val="TableContents"/>
              <w:bidi w:val="0"/>
              <w:jc w:val="right"/>
              <w:rPr/>
            </w:pPr>
            <w:r>
              <w:rPr/>
              <w:t>79.06%</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pPr>
            <w:r>
              <w:rPr/>
              <w:t>0.144</w:t>
            </w:r>
          </w:p>
        </w:tc>
      </w:tr>
      <w:tr>
        <w:trPr/>
        <w:tc>
          <w:tcPr>
            <w:tcW w:w="34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GMM, K = 4</w:t>
            </w:r>
          </w:p>
        </w:tc>
        <w:tc>
          <w:tcPr>
            <w:tcW w:w="1191" w:type="dxa"/>
            <w:tcBorders>
              <w:left w:val="single" w:sz="2" w:space="0" w:color="808080"/>
              <w:bottom w:val="single" w:sz="2" w:space="0" w:color="808080"/>
              <w:right w:val="single" w:sz="6" w:space="0" w:color="808080"/>
            </w:tcBorders>
            <w:vAlign w:val="center"/>
          </w:tcPr>
          <w:p>
            <w:pPr>
              <w:pStyle w:val="TableContents"/>
              <w:bidi w:val="0"/>
              <w:jc w:val="right"/>
              <w:rPr/>
            </w:pPr>
            <w:r>
              <w:rPr/>
              <w:t>78.45%</w:t>
            </w:r>
          </w:p>
        </w:tc>
        <w:tc>
          <w:tcPr>
            <w:tcW w:w="1011" w:type="dxa"/>
            <w:tcBorders>
              <w:left w:val="single" w:sz="2" w:space="0" w:color="808080"/>
              <w:bottom w:val="single" w:sz="2" w:space="0" w:color="808080"/>
              <w:right w:val="single" w:sz="6" w:space="0" w:color="808080"/>
            </w:tcBorders>
            <w:vAlign w:val="center"/>
          </w:tcPr>
          <w:p>
            <w:pPr>
              <w:pStyle w:val="TableContents"/>
              <w:bidi w:val="0"/>
              <w:jc w:val="right"/>
              <w:rPr/>
            </w:pPr>
            <w:r>
              <w:rPr/>
              <w:t>0.161</w:t>
            </w:r>
          </w:p>
        </w:tc>
        <w:tc>
          <w:tcPr>
            <w:tcW w:w="1071" w:type="dxa"/>
            <w:tcBorders>
              <w:left w:val="single" w:sz="2" w:space="0" w:color="808080"/>
              <w:bottom w:val="single" w:sz="2" w:space="0" w:color="808080"/>
              <w:right w:val="single" w:sz="6" w:space="0" w:color="808080"/>
            </w:tcBorders>
            <w:vAlign w:val="center"/>
          </w:tcPr>
          <w:p>
            <w:pPr>
              <w:pStyle w:val="TableContents"/>
              <w:bidi w:val="0"/>
              <w:jc w:val="right"/>
              <w:rPr/>
            </w:pPr>
            <w:r>
              <w:rPr/>
              <w:t>76.96%</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pPr>
            <w:r>
              <w:rPr/>
              <w:t>0.145</w:t>
            </w:r>
          </w:p>
        </w:tc>
      </w:tr>
      <w:tr>
        <w:trPr/>
        <w:tc>
          <w:tcPr>
            <w:tcW w:w="34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k-means, K = 2</w:t>
            </w:r>
          </w:p>
        </w:tc>
        <w:tc>
          <w:tcPr>
            <w:tcW w:w="1191"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81.0%</w:t>
            </w:r>
          </w:p>
        </w:tc>
        <w:tc>
          <w:tcPr>
            <w:tcW w:w="1011"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0.37</w:t>
            </w:r>
          </w:p>
        </w:tc>
        <w:tc>
          <w:tcPr>
            <w:tcW w:w="1071"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70.2%</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0.12</w:t>
            </w:r>
          </w:p>
        </w:tc>
      </w:tr>
      <w:tr>
        <w:trPr/>
        <w:tc>
          <w:tcPr>
            <w:tcW w:w="34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Agglomerative (Ward), K = 2</w:t>
            </w:r>
          </w:p>
        </w:tc>
        <w:tc>
          <w:tcPr>
            <w:tcW w:w="1191"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79.9%</w:t>
            </w:r>
          </w:p>
        </w:tc>
        <w:tc>
          <w:tcPr>
            <w:tcW w:w="1011"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0.34</w:t>
            </w:r>
          </w:p>
        </w:tc>
        <w:tc>
          <w:tcPr>
            <w:tcW w:w="1071"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69.6%</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0.10</w:t>
            </w:r>
          </w:p>
        </w:tc>
      </w:tr>
      <w:tr>
        <w:trPr/>
        <w:tc>
          <w:tcPr>
            <w:tcW w:w="341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Spectral, K = 2</w:t>
            </w:r>
          </w:p>
        </w:tc>
        <w:tc>
          <w:tcPr>
            <w:tcW w:w="1191"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80.5%</w:t>
            </w:r>
          </w:p>
        </w:tc>
        <w:tc>
          <w:tcPr>
            <w:tcW w:w="1011"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0.35</w:t>
            </w:r>
          </w:p>
        </w:tc>
        <w:tc>
          <w:tcPr>
            <w:tcW w:w="1071"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70.7%</w:t>
            </w:r>
          </w:p>
        </w:tc>
        <w:tc>
          <w:tcPr>
            <w:tcW w:w="90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0.13</w:t>
            </w:r>
          </w:p>
        </w:tc>
      </w:tr>
      <w:tr>
        <w:trPr/>
        <w:tc>
          <w:tcPr>
            <w:tcW w:w="341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Constrained two-component prior (ours)</w:t>
            </w:r>
          </w:p>
        </w:tc>
        <w:tc>
          <w:tcPr>
            <w:tcW w:w="1191" w:type="dxa"/>
            <w:tcBorders>
              <w:left w:val="single" w:sz="2" w:space="0" w:color="808080"/>
              <w:bottom w:val="single" w:sz="6" w:space="0" w:color="808080"/>
              <w:right w:val="single" w:sz="6" w:space="0" w:color="808080"/>
            </w:tcBorders>
            <w:vAlign w:val="center"/>
          </w:tcPr>
          <w:p>
            <w:pPr>
              <w:pStyle w:val="TableContents"/>
              <w:bidi w:val="0"/>
              <w:jc w:val="right"/>
              <w:rPr/>
            </w:pPr>
            <w:r>
              <w:rPr/>
              <w:t>81.18%</w:t>
            </w:r>
          </w:p>
        </w:tc>
        <w:tc>
          <w:tcPr>
            <w:tcW w:w="1011" w:type="dxa"/>
            <w:tcBorders>
              <w:left w:val="single" w:sz="2" w:space="0" w:color="808080"/>
              <w:bottom w:val="single" w:sz="6" w:space="0" w:color="808080"/>
              <w:right w:val="single" w:sz="6" w:space="0" w:color="808080"/>
            </w:tcBorders>
            <w:vAlign w:val="center"/>
          </w:tcPr>
          <w:p>
            <w:pPr>
              <w:pStyle w:val="TableContents"/>
              <w:bidi w:val="0"/>
              <w:jc w:val="right"/>
              <w:rPr/>
            </w:pPr>
            <w:r>
              <w:rPr/>
              <w:t>0.388</w:t>
            </w:r>
          </w:p>
        </w:tc>
        <w:tc>
          <w:tcPr>
            <w:tcW w:w="1071" w:type="dxa"/>
            <w:tcBorders>
              <w:left w:val="single" w:sz="2" w:space="0" w:color="808080"/>
              <w:bottom w:val="single" w:sz="6" w:space="0" w:color="808080"/>
              <w:right w:val="single" w:sz="6" w:space="0" w:color="808080"/>
            </w:tcBorders>
            <w:vAlign w:val="center"/>
          </w:tcPr>
          <w:p>
            <w:pPr>
              <w:pStyle w:val="TableContents"/>
              <w:bidi w:val="0"/>
              <w:jc w:val="right"/>
              <w:rPr/>
            </w:pPr>
            <w:r>
              <w:rPr/>
              <w:t>75.39%</w:t>
            </w:r>
          </w:p>
        </w:tc>
        <w:tc>
          <w:tcPr>
            <w:tcW w:w="906" w:type="dxa"/>
            <w:tcBorders>
              <w:left w:val="single" w:sz="2" w:space="0" w:color="808080"/>
              <w:bottom w:val="single" w:sz="6" w:space="0" w:color="808080"/>
              <w:right w:val="single" w:sz="6" w:space="0" w:color="808080"/>
            </w:tcBorders>
            <w:vAlign w:val="center"/>
          </w:tcPr>
          <w:p>
            <w:pPr>
              <w:pStyle w:val="TableContents"/>
              <w:bidi w:val="0"/>
              <w:jc w:val="right"/>
              <w:rPr/>
            </w:pPr>
            <w:r>
              <w:rPr/>
              <w:t>0.250</w:t>
            </w:r>
          </w:p>
        </w:tc>
      </w:tr>
    </w:tbl>
    <w:p>
      <w:pPr>
        <w:pStyle w:val="TextBody"/>
        <w:bidi w:val="0"/>
        <w:spacing w:lineRule="auto" w:line="276" w:before="0" w:after="120"/>
        <w:jc w:val="left"/>
        <w:rPr/>
      </w:pPr>
      <w:r>
        <w:rPr/>
        <w:t> </w:t>
      </w:r>
    </w:p>
    <w:p>
      <w:pPr>
        <w:pStyle w:val="TextBody"/>
        <w:bidi w:val="0"/>
        <w:spacing w:lineRule="auto" w:line="276" w:before="0" w:after="120"/>
        <w:jc w:val="left"/>
        <w:rPr/>
      </w:pPr>
      <w:r>
        <w:rPr/>
        <w:t>On ADNI, ARI is highest for K = 2, and additional components split the disease cluster without improving agreement. On OAI, an unconstrained mixture prefers K = 3 over K = 2 (ARI 0.144 against 0.085). However, every unconstrained alternative, including the three other algorithms, falls well below the constrained two-component prior used in our method (ARI 0.250). For these cohorts, pseudo-label quality is therefore driven by the prior rather than by the choice of algorithm or K. Any of these algorithms can replace the assignment step without changing stage 2, so the framework can accommodate clinical settings with more than two groups.</w:t>
      </w:r>
    </w:p>
    <w:p>
      <w:pPr>
        <w:pStyle w:val="TextBody"/>
        <w:bidi w:val="0"/>
        <w:spacing w:lineRule="auto" w:line="276" w:before="0" w:after="120"/>
        <w:jc w:val="left"/>
        <w:rPr/>
      </w:pPr>
      <w:r>
        <w:rPr/>
        <w:t>Extending discovery to CN/MCI/AD requires retraining stage 1 on a cohort that includes MCI, and ADNI-1 provides such data (242 MCI subjects in our processed set). Evaluating whether the intermediate stage forms a separable cluster, or instead lies along a continuum between the CN and AD clusters, is a substantial study in its own right. We have added it to the future work as the most direct extension of this study.</w:t>
      </w:r>
    </w:p>
    <w:p>
      <w:pPr>
        <w:pStyle w:val="TextBody"/>
        <w:bidi w:val="0"/>
        <w:spacing w:lineRule="auto" w:line="276" w:before="0" w:after="120"/>
        <w:jc w:val="left"/>
        <w:rPr/>
      </w:pPr>
      <w:r>
        <w:rPr>
          <w:b/>
        </w:rPr>
        <w:t>Author action:</w:t>
      </w:r>
      <w:r>
        <w:rPr/>
        <w:t xml:space="preserve"> We updated the manuscript by clarifying in Section III-B that K is a free parameter of both the prior and the assignment step, adding a sentence to Section V-A that summarizes the comparison of mixture components and clustering algorithms, and adding multi-stage discovery (CN/MCI/AD) to the future work in Section VII.</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Reviewer#3, Concern # 2:</w:t>
      </w:r>
      <w:r>
        <w:rPr/>
        <w:t xml:space="preserve"> </w:t>
      </w:r>
      <w:r>
        <w:rPr>
          <w:color w:val="00B050"/>
        </w:rPr>
        <w:t>The experimental results show that the clustering purity on the OAI dataset is only 73.66%, significantly lower than 82.37% on the ADNI dataset. It is recommended to introduce easily obtainable covariates such as age and gender as weak priors to guide clustering in the first-stage clustering process.</w:t>
      </w:r>
    </w:p>
    <w:p>
      <w:pPr>
        <w:pStyle w:val="TextBody"/>
        <w:bidi w:val="0"/>
        <w:spacing w:lineRule="auto" w:line="276" w:before="0" w:after="120"/>
        <w:jc w:val="left"/>
        <w:rPr/>
      </w:pPr>
      <w:r>
        <w:rPr>
          <w:b/>
        </w:rPr>
        <w:t>Author response:</w:t>
      </w:r>
      <w:r>
        <w:rPr/>
        <w:t xml:space="preserve"> We thank the reviewer for this suggestion and tested it in two ways.</w:t>
      </w:r>
    </w:p>
    <w:p>
      <w:pPr>
        <w:pStyle w:val="TextBody"/>
        <w:bidi w:val="0"/>
        <w:spacing w:lineRule="auto" w:line="276" w:before="0" w:after="120"/>
        <w:jc w:val="left"/>
        <w:rPr/>
      </w:pPr>
      <w:r>
        <w:rPr>
          <w:i/>
        </w:rPr>
        <w:t>Covariates as additional clustering features.</w:t>
      </w:r>
      <w:r>
        <w:rPr/>
        <w:t xml:space="preserve"> We appended standardized age and sex to the stage-1 codes. On OAI this lowered agreement relative to clustering the codes alone: balanced accuracy fell from 68.1% to 58.0%, ARI from 0.085 to 0.015 and κ from 0.310 to 0.140, and the result did not change when the covariates were reweighted.</w:t>
      </w:r>
    </w:p>
    <w:p>
      <w:pPr>
        <w:pStyle w:val="TextBody"/>
        <w:bidi w:val="0"/>
        <w:spacing w:lineRule="auto" w:line="276" w:before="0" w:after="120"/>
        <w:jc w:val="left"/>
        <w:rPr/>
      </w:pPr>
      <w:r>
        <w:rPr/>
        <w:t xml:space="preserve">The reason is that sex is binary, and therefore perfectly bimodal, so a two-component mixture over the augmented features separates the shapes largely by sex. The two clusters coincide with sex for </w:t>
      </w:r>
      <w:r>
        <w:rPr>
          <w:shd w:fill="FFE699" w:val="clear"/>
        </w:rPr>
        <w:t>96.9%</w:t>
      </w:r>
      <w:r>
        <w:rPr/>
        <w:t xml:space="preserve"> of OAI shapes. Reweighting cannot prevent this, because a diagonal-covariance mixture is invariant to rescaling individual features. Appending age alone avoids the split by sex but still does not improve agreement (OAI balanced accuracy </w:t>
      </w:r>
      <w:r>
        <w:rPr>
          <w:shd w:fill="FFE699" w:val="clear"/>
        </w:rPr>
        <w:t>66.2%</w:t>
      </w:r>
      <w:r>
        <w:rPr/>
        <w:t xml:space="preserve">, ARI </w:t>
      </w:r>
      <w:r>
        <w:rPr>
          <w:shd w:fill="FFE699" w:val="clear"/>
        </w:rPr>
        <w:t>0.061</w:t>
      </w:r>
      <w:r>
        <w:rPr/>
        <w:t>), because the clusters then partly follow age instead of disease.</w:t>
      </w:r>
    </w:p>
    <w:p>
      <w:pPr>
        <w:pStyle w:val="TextBody"/>
        <w:bidi w:val="0"/>
        <w:spacing w:lineRule="auto" w:line="276" w:before="0" w:after="120"/>
        <w:jc w:val="left"/>
        <w:rPr/>
      </w:pPr>
      <w:r>
        <w:rPr>
          <w:i/>
        </w:rPr>
        <w:t>Covariates as nuisance variables.</w:t>
      </w:r>
      <w:r>
        <w:rPr/>
        <w:t xml:space="preserve"> A formulation more consistent with our goal treats age and sex as confounds to be removed rather than as features, so we regressed them out of the stage-1 codes before clustering. On OAI, this improved a standard EM fit (balanced accuracy </w:t>
      </w:r>
      <w:r>
        <w:rPr>
          <w:shd w:fill="FFE699" w:val="clear"/>
        </w:rPr>
        <w:t>70.9%</w:t>
      </w:r>
      <w:r>
        <w:rPr/>
        <w:t xml:space="preserve">, ARI </w:t>
      </w:r>
      <w:r>
        <w:rPr>
          <w:shd w:fill="FFE699" w:val="clear"/>
        </w:rPr>
        <w:t>0.141</w:t>
      </w:r>
      <w:r>
        <w:rPr/>
        <w:t xml:space="preserve">, κ </w:t>
      </w:r>
      <w:r>
        <w:rPr>
          <w:shd w:fill="FFE699" w:val="clear"/>
        </w:rPr>
        <w:t>0.39</w:t>
      </w:r>
      <w:r>
        <w:rPr/>
        <w:t xml:space="preserve">, against 68.1%, 0.085 and 0.310 without residualization). On ADNI it had essentially no effect (ARI </w:t>
      </w:r>
      <w:r>
        <w:rPr>
          <w:shd w:fill="FFE699" w:val="clear"/>
        </w:rPr>
        <w:t>0.401</w:t>
      </w:r>
      <w:r>
        <w:rPr/>
        <w:t xml:space="preserve"> against 0.406), as expected, since age and diagnosis are uncorrelated in our ADNI cohort (r = −0.012). The improvement nevertheless remains below the constrained prior used in our method (OAI ARI 0.250). We therefore keep the original pseudo-labels and describe covariate residualization as a compatible option.</w:t>
      </w:r>
    </w:p>
    <w:p>
      <w:pPr>
        <w:pStyle w:val="TextBody"/>
        <w:bidi w:val="0"/>
        <w:spacing w:lineRule="auto" w:line="276" w:before="0" w:after="120"/>
        <w:jc w:val="left"/>
        <w:rPr/>
      </w:pPr>
      <w:r>
        <w:rPr/>
        <w:t>There is also a conceptual reason for caution. If disease discovery depends on age, the pseudo disease label becomes coupled to the very factor that stage 2 is designed to separate from it. We consider this a real risk for any covariate-guided discovery aimed at disentanglement.</w:t>
      </w:r>
    </w:p>
    <w:tbl>
      <w:tblPr>
        <w:tblW w:w="9305" w:type="dxa"/>
        <w:jc w:val="left"/>
        <w:tblInd w:w="-7" w:type="dxa"/>
        <w:tblLayout w:type="fixed"/>
        <w:tblCellMar>
          <w:top w:w="60" w:type="dxa"/>
          <w:left w:w="60" w:type="dxa"/>
          <w:bottom w:w="60" w:type="dxa"/>
          <w:right w:w="60" w:type="dxa"/>
        </w:tblCellMar>
      </w:tblPr>
      <w:tblGrid>
        <w:gridCol w:w="3530"/>
        <w:gridCol w:w="1071"/>
        <w:gridCol w:w="2136"/>
        <w:gridCol w:w="891"/>
        <w:gridCol w:w="651"/>
        <w:gridCol w:w="1026"/>
      </w:tblGrid>
      <w:tr>
        <w:trPr/>
        <w:tc>
          <w:tcPr>
            <w:tcW w:w="3530" w:type="dxa"/>
            <w:tcBorders>
              <w:top w:val="single" w:sz="6" w:space="0" w:color="808080"/>
              <w:left w:val="single" w:sz="6" w:space="0" w:color="808080"/>
              <w:bottom w:val="single" w:sz="2" w:space="0" w:color="808080"/>
              <w:right w:val="single" w:sz="6" w:space="0" w:color="808080"/>
            </w:tcBorders>
            <w:shd w:fill="F2F2F2" w:val="clear"/>
            <w:vAlign w:val="center"/>
          </w:tcPr>
          <w:p>
            <w:pPr>
              <w:pStyle w:val="TableContents"/>
              <w:bidi w:val="0"/>
              <w:jc w:val="left"/>
              <w:rPr>
                <w:b/>
              </w:rPr>
            </w:pPr>
            <w:r>
              <w:rPr>
                <w:b/>
              </w:rPr>
              <w:t>Clustering input (two-component GMM)</w:t>
            </w:r>
          </w:p>
        </w:tc>
        <w:tc>
          <w:tcPr>
            <w:tcW w:w="107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OAI purity</w:t>
            </w:r>
          </w:p>
        </w:tc>
        <w:tc>
          <w:tcPr>
            <w:tcW w:w="213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OAI balanced accuracy</w:t>
            </w:r>
          </w:p>
        </w:tc>
        <w:tc>
          <w:tcPr>
            <w:tcW w:w="89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OAI ARI</w:t>
            </w:r>
          </w:p>
        </w:tc>
        <w:tc>
          <w:tcPr>
            <w:tcW w:w="651"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OAI κ</w:t>
            </w:r>
          </w:p>
        </w:tc>
        <w:tc>
          <w:tcPr>
            <w:tcW w:w="1026" w:type="dxa"/>
            <w:tcBorders>
              <w:top w:val="single" w:sz="6" w:space="0" w:color="808080"/>
              <w:left w:val="single" w:sz="2" w:space="0" w:color="808080"/>
              <w:bottom w:val="single" w:sz="2" w:space="0" w:color="808080"/>
              <w:right w:val="single" w:sz="6" w:space="0" w:color="808080"/>
            </w:tcBorders>
            <w:shd w:fill="F2F2F2" w:val="clear"/>
            <w:vAlign w:val="center"/>
          </w:tcPr>
          <w:p>
            <w:pPr>
              <w:pStyle w:val="TableContents"/>
              <w:bidi w:val="0"/>
              <w:jc w:val="right"/>
              <w:rPr>
                <w:b/>
              </w:rPr>
            </w:pPr>
            <w:r>
              <w:rPr>
                <w:b/>
              </w:rPr>
              <w:t>ADNI ARI</w:t>
            </w:r>
          </w:p>
        </w:tc>
      </w:tr>
      <w:tr>
        <w:trPr/>
        <w:tc>
          <w:tcPr>
            <w:tcW w:w="35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Stage-1 codes (unconstrained EM)</w:t>
            </w:r>
          </w:p>
        </w:tc>
        <w:tc>
          <w:tcPr>
            <w:tcW w:w="1071" w:type="dxa"/>
            <w:tcBorders>
              <w:left w:val="single" w:sz="2" w:space="0" w:color="808080"/>
              <w:bottom w:val="single" w:sz="2" w:space="0" w:color="808080"/>
              <w:right w:val="single" w:sz="6" w:space="0" w:color="808080"/>
            </w:tcBorders>
            <w:vAlign w:val="center"/>
          </w:tcPr>
          <w:p>
            <w:pPr>
              <w:pStyle w:val="TableContents"/>
              <w:bidi w:val="0"/>
              <w:jc w:val="right"/>
              <w:rPr/>
            </w:pPr>
            <w:r>
              <w:rPr/>
              <w:t>68.06%</w:t>
            </w:r>
          </w:p>
        </w:tc>
        <w:tc>
          <w:tcPr>
            <w:tcW w:w="2136" w:type="dxa"/>
            <w:tcBorders>
              <w:left w:val="single" w:sz="2" w:space="0" w:color="808080"/>
              <w:bottom w:val="single" w:sz="2" w:space="0" w:color="808080"/>
              <w:right w:val="single" w:sz="6" w:space="0" w:color="808080"/>
            </w:tcBorders>
            <w:vAlign w:val="center"/>
          </w:tcPr>
          <w:p>
            <w:pPr>
              <w:pStyle w:val="TableContents"/>
              <w:bidi w:val="0"/>
              <w:jc w:val="right"/>
              <w:rPr/>
            </w:pPr>
            <w:r>
              <w:rPr/>
              <w:t>68.1%</w:t>
            </w:r>
          </w:p>
        </w:tc>
        <w:tc>
          <w:tcPr>
            <w:tcW w:w="891" w:type="dxa"/>
            <w:tcBorders>
              <w:left w:val="single" w:sz="2" w:space="0" w:color="808080"/>
              <w:bottom w:val="single" w:sz="2" w:space="0" w:color="808080"/>
              <w:right w:val="single" w:sz="6" w:space="0" w:color="808080"/>
            </w:tcBorders>
            <w:vAlign w:val="center"/>
          </w:tcPr>
          <w:p>
            <w:pPr>
              <w:pStyle w:val="TableContents"/>
              <w:bidi w:val="0"/>
              <w:jc w:val="right"/>
              <w:rPr/>
            </w:pPr>
            <w:r>
              <w:rPr/>
              <w:t>0.085</w:t>
            </w:r>
          </w:p>
        </w:tc>
        <w:tc>
          <w:tcPr>
            <w:tcW w:w="651" w:type="dxa"/>
            <w:tcBorders>
              <w:left w:val="single" w:sz="2" w:space="0" w:color="808080"/>
              <w:bottom w:val="single" w:sz="2" w:space="0" w:color="808080"/>
              <w:right w:val="single" w:sz="6" w:space="0" w:color="808080"/>
            </w:tcBorders>
            <w:vAlign w:val="center"/>
          </w:tcPr>
          <w:p>
            <w:pPr>
              <w:pStyle w:val="TableContents"/>
              <w:bidi w:val="0"/>
              <w:jc w:val="right"/>
              <w:rPr/>
            </w:pPr>
            <w:r>
              <w:rPr/>
              <w:t>0.310</w:t>
            </w:r>
          </w:p>
        </w:tc>
        <w:tc>
          <w:tcPr>
            <w:tcW w:w="1026" w:type="dxa"/>
            <w:tcBorders>
              <w:left w:val="single" w:sz="2" w:space="0" w:color="808080"/>
              <w:bottom w:val="single" w:sz="2" w:space="0" w:color="808080"/>
              <w:right w:val="single" w:sz="6" w:space="0" w:color="808080"/>
            </w:tcBorders>
            <w:vAlign w:val="center"/>
          </w:tcPr>
          <w:p>
            <w:pPr>
              <w:pStyle w:val="TableContents"/>
              <w:bidi w:val="0"/>
              <w:jc w:val="right"/>
              <w:rPr/>
            </w:pPr>
            <w:r>
              <w:rPr/>
              <w:t>0.406</w:t>
            </w:r>
          </w:p>
        </w:tc>
      </w:tr>
      <w:tr>
        <w:trPr/>
        <w:tc>
          <w:tcPr>
            <w:tcW w:w="35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Codes + age + sex</w:t>
            </w:r>
          </w:p>
        </w:tc>
        <w:tc>
          <w:tcPr>
            <w:tcW w:w="1071" w:type="dxa"/>
            <w:tcBorders>
              <w:left w:val="single" w:sz="2" w:space="0" w:color="808080"/>
              <w:bottom w:val="single" w:sz="2" w:space="0" w:color="808080"/>
              <w:right w:val="single" w:sz="6" w:space="0" w:color="808080"/>
            </w:tcBorders>
            <w:vAlign w:val="center"/>
          </w:tcPr>
          <w:p>
            <w:pPr>
              <w:pStyle w:val="TableContents"/>
              <w:bidi w:val="0"/>
              <w:jc w:val="right"/>
              <w:rPr/>
            </w:pPr>
            <w:r>
              <w:rPr/>
              <w:t>68.06%</w:t>
            </w:r>
          </w:p>
        </w:tc>
        <w:tc>
          <w:tcPr>
            <w:tcW w:w="2136" w:type="dxa"/>
            <w:tcBorders>
              <w:left w:val="single" w:sz="2" w:space="0" w:color="808080"/>
              <w:bottom w:val="single" w:sz="2" w:space="0" w:color="808080"/>
              <w:right w:val="single" w:sz="6" w:space="0" w:color="808080"/>
            </w:tcBorders>
            <w:vAlign w:val="center"/>
          </w:tcPr>
          <w:p>
            <w:pPr>
              <w:pStyle w:val="TableContents"/>
              <w:bidi w:val="0"/>
              <w:jc w:val="right"/>
              <w:rPr/>
            </w:pPr>
            <w:r>
              <w:rPr/>
              <w:t>58.0%</w:t>
            </w:r>
          </w:p>
        </w:tc>
        <w:tc>
          <w:tcPr>
            <w:tcW w:w="891" w:type="dxa"/>
            <w:tcBorders>
              <w:left w:val="single" w:sz="2" w:space="0" w:color="808080"/>
              <w:bottom w:val="single" w:sz="2" w:space="0" w:color="808080"/>
              <w:right w:val="single" w:sz="6" w:space="0" w:color="808080"/>
            </w:tcBorders>
            <w:vAlign w:val="center"/>
          </w:tcPr>
          <w:p>
            <w:pPr>
              <w:pStyle w:val="TableContents"/>
              <w:bidi w:val="0"/>
              <w:jc w:val="right"/>
              <w:rPr/>
            </w:pPr>
            <w:r>
              <w:rPr/>
              <w:t>0.015</w:t>
            </w:r>
          </w:p>
        </w:tc>
        <w:tc>
          <w:tcPr>
            <w:tcW w:w="651" w:type="dxa"/>
            <w:tcBorders>
              <w:left w:val="single" w:sz="2" w:space="0" w:color="808080"/>
              <w:bottom w:val="single" w:sz="2" w:space="0" w:color="808080"/>
              <w:right w:val="single" w:sz="6" w:space="0" w:color="808080"/>
            </w:tcBorders>
            <w:vAlign w:val="center"/>
          </w:tcPr>
          <w:p>
            <w:pPr>
              <w:pStyle w:val="TableContents"/>
              <w:bidi w:val="0"/>
              <w:jc w:val="right"/>
              <w:rPr/>
            </w:pPr>
            <w:r>
              <w:rPr/>
              <w:t>0.140</w:t>
            </w:r>
          </w:p>
        </w:tc>
        <w:tc>
          <w:tcPr>
            <w:tcW w:w="102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0.004</w:t>
            </w:r>
          </w:p>
        </w:tc>
      </w:tr>
      <w:tr>
        <w:trPr/>
        <w:tc>
          <w:tcPr>
            <w:tcW w:w="35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Codes + age</w:t>
            </w:r>
          </w:p>
        </w:tc>
        <w:tc>
          <w:tcPr>
            <w:tcW w:w="1071"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70.2%</w:t>
            </w:r>
          </w:p>
        </w:tc>
        <w:tc>
          <w:tcPr>
            <w:tcW w:w="213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66.2%</w:t>
            </w:r>
          </w:p>
        </w:tc>
        <w:tc>
          <w:tcPr>
            <w:tcW w:w="891"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0.061</w:t>
            </w:r>
          </w:p>
        </w:tc>
        <w:tc>
          <w:tcPr>
            <w:tcW w:w="651"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0.28</w:t>
            </w:r>
          </w:p>
        </w:tc>
        <w:tc>
          <w:tcPr>
            <w:tcW w:w="102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0.398</w:t>
            </w:r>
          </w:p>
        </w:tc>
      </w:tr>
      <w:tr>
        <w:trPr/>
        <w:tc>
          <w:tcPr>
            <w:tcW w:w="3530" w:type="dxa"/>
            <w:tcBorders>
              <w:left w:val="single" w:sz="6" w:space="0" w:color="808080"/>
              <w:bottom w:val="single" w:sz="2" w:space="0" w:color="808080"/>
              <w:right w:val="single" w:sz="6" w:space="0" w:color="808080"/>
            </w:tcBorders>
            <w:vAlign w:val="center"/>
          </w:tcPr>
          <w:p>
            <w:pPr>
              <w:pStyle w:val="TableContents"/>
              <w:widowControl w:val="false"/>
              <w:suppressLineNumbers/>
              <w:bidi w:val="0"/>
              <w:jc w:val="left"/>
              <w:rPr/>
            </w:pPr>
            <w:r>
              <w:rPr/>
              <w:t>Codes with age and sex regressed out</w:t>
            </w:r>
          </w:p>
        </w:tc>
        <w:tc>
          <w:tcPr>
            <w:tcW w:w="1071"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72.8%</w:t>
            </w:r>
          </w:p>
        </w:tc>
        <w:tc>
          <w:tcPr>
            <w:tcW w:w="213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70.9%</w:t>
            </w:r>
          </w:p>
        </w:tc>
        <w:tc>
          <w:tcPr>
            <w:tcW w:w="891"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0.141</w:t>
            </w:r>
          </w:p>
        </w:tc>
        <w:tc>
          <w:tcPr>
            <w:tcW w:w="651"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0.39</w:t>
            </w:r>
          </w:p>
        </w:tc>
        <w:tc>
          <w:tcPr>
            <w:tcW w:w="1026" w:type="dxa"/>
            <w:tcBorders>
              <w:left w:val="single" w:sz="2" w:space="0" w:color="808080"/>
              <w:bottom w:val="single" w:sz="2" w:space="0" w:color="808080"/>
              <w:right w:val="single" w:sz="6" w:space="0" w:color="808080"/>
            </w:tcBorders>
            <w:vAlign w:val="center"/>
          </w:tcPr>
          <w:p>
            <w:pPr>
              <w:pStyle w:val="TableContents"/>
              <w:bidi w:val="0"/>
              <w:jc w:val="right"/>
              <w:rPr>
                <w:shd w:fill="FFE699" w:val="clear"/>
              </w:rPr>
            </w:pPr>
            <w:r>
              <w:rPr>
                <w:shd w:fill="FFE699" w:val="clear"/>
              </w:rPr>
              <w:t>0.401</w:t>
            </w:r>
          </w:p>
        </w:tc>
      </w:tr>
      <w:tr>
        <w:trPr/>
        <w:tc>
          <w:tcPr>
            <w:tcW w:w="3530" w:type="dxa"/>
            <w:tcBorders>
              <w:left w:val="single" w:sz="6" w:space="0" w:color="808080"/>
              <w:bottom w:val="single" w:sz="6" w:space="0" w:color="808080"/>
              <w:right w:val="single" w:sz="6" w:space="0" w:color="808080"/>
            </w:tcBorders>
            <w:vAlign w:val="center"/>
          </w:tcPr>
          <w:p>
            <w:pPr>
              <w:pStyle w:val="TableContents"/>
              <w:widowControl w:val="false"/>
              <w:suppressLineNumbers/>
              <w:bidi w:val="0"/>
              <w:jc w:val="left"/>
              <w:rPr/>
            </w:pPr>
            <w:r>
              <w:rPr/>
              <w:t>Constrained two-component prior (ours)</w:t>
            </w:r>
          </w:p>
        </w:tc>
        <w:tc>
          <w:tcPr>
            <w:tcW w:w="1071" w:type="dxa"/>
            <w:tcBorders>
              <w:left w:val="single" w:sz="2" w:space="0" w:color="808080"/>
              <w:bottom w:val="single" w:sz="6" w:space="0" w:color="808080"/>
              <w:right w:val="single" w:sz="6" w:space="0" w:color="808080"/>
            </w:tcBorders>
            <w:vAlign w:val="center"/>
          </w:tcPr>
          <w:p>
            <w:pPr>
              <w:pStyle w:val="TableContents"/>
              <w:bidi w:val="0"/>
              <w:jc w:val="right"/>
              <w:rPr/>
            </w:pPr>
            <w:r>
              <w:rPr/>
              <w:t>75.39%</w:t>
            </w:r>
          </w:p>
        </w:tc>
        <w:tc>
          <w:tcPr>
            <w:tcW w:w="2136" w:type="dxa"/>
            <w:tcBorders>
              <w:left w:val="single" w:sz="2" w:space="0" w:color="808080"/>
              <w:bottom w:val="single" w:sz="6" w:space="0" w:color="808080"/>
              <w:right w:val="single" w:sz="6" w:space="0" w:color="808080"/>
            </w:tcBorders>
            <w:vAlign w:val="center"/>
          </w:tcPr>
          <w:p>
            <w:pPr>
              <w:pStyle w:val="TableContents"/>
              <w:bidi w:val="0"/>
              <w:jc w:val="right"/>
              <w:rPr/>
            </w:pPr>
            <w:r>
              <w:rPr/>
              <w:t>74.53%</w:t>
            </w:r>
          </w:p>
        </w:tc>
        <w:tc>
          <w:tcPr>
            <w:tcW w:w="891" w:type="dxa"/>
            <w:tcBorders>
              <w:left w:val="single" w:sz="2" w:space="0" w:color="808080"/>
              <w:bottom w:val="single" w:sz="6" w:space="0" w:color="808080"/>
              <w:right w:val="single" w:sz="6" w:space="0" w:color="808080"/>
            </w:tcBorders>
            <w:vAlign w:val="center"/>
          </w:tcPr>
          <w:p>
            <w:pPr>
              <w:pStyle w:val="TableContents"/>
              <w:bidi w:val="0"/>
              <w:jc w:val="right"/>
              <w:rPr/>
            </w:pPr>
            <w:r>
              <w:rPr/>
              <w:t>0.250</w:t>
            </w:r>
          </w:p>
        </w:tc>
        <w:tc>
          <w:tcPr>
            <w:tcW w:w="651" w:type="dxa"/>
            <w:tcBorders>
              <w:left w:val="single" w:sz="2" w:space="0" w:color="808080"/>
              <w:bottom w:val="single" w:sz="6" w:space="0" w:color="808080"/>
              <w:right w:val="single" w:sz="6" w:space="0" w:color="808080"/>
            </w:tcBorders>
            <w:vAlign w:val="center"/>
          </w:tcPr>
          <w:p>
            <w:pPr>
              <w:pStyle w:val="TableContents"/>
              <w:bidi w:val="0"/>
              <w:jc w:val="right"/>
              <w:rPr/>
            </w:pPr>
            <w:r>
              <w:rPr/>
              <w:t>0.464</w:t>
            </w:r>
          </w:p>
        </w:tc>
        <w:tc>
          <w:tcPr>
            <w:tcW w:w="1026" w:type="dxa"/>
            <w:tcBorders>
              <w:left w:val="single" w:sz="2" w:space="0" w:color="808080"/>
              <w:bottom w:val="single" w:sz="6" w:space="0" w:color="808080"/>
              <w:right w:val="single" w:sz="6" w:space="0" w:color="808080"/>
            </w:tcBorders>
            <w:vAlign w:val="center"/>
          </w:tcPr>
          <w:p>
            <w:pPr>
              <w:pStyle w:val="TableContents"/>
              <w:bidi w:val="0"/>
              <w:jc w:val="right"/>
              <w:rPr/>
            </w:pPr>
            <w:r>
              <w:rPr/>
              <w:t>0.388</w:t>
            </w:r>
          </w:p>
        </w:tc>
      </w:tr>
    </w:tbl>
    <w:p>
      <w:pPr>
        <w:pStyle w:val="TextBody"/>
        <w:bidi w:val="0"/>
        <w:spacing w:lineRule="auto" w:line="276" w:before="0" w:after="120"/>
        <w:jc w:val="left"/>
        <w:rPr/>
      </w:pPr>
      <w:r>
        <w:rPr/>
        <w:t> </w:t>
      </w:r>
    </w:p>
    <w:p>
      <w:pPr>
        <w:pStyle w:val="TextBody"/>
        <w:bidi w:val="0"/>
        <w:spacing w:lineRule="auto" w:line="276" w:before="0" w:after="120"/>
        <w:jc w:val="left"/>
        <w:rPr/>
      </w:pPr>
      <w:r>
        <w:rPr>
          <w:b/>
        </w:rPr>
        <w:t>Author action:</w:t>
      </w:r>
      <w:r>
        <w:rPr/>
        <w:t xml:space="preserve"> We updated the manuscript by adding a paragraph to Section V-A that summarizes the covariate-informed clustering experiments and the conceptual argument, and by noting covariate residualization as an option for the discovery stage in Section III-B.</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b/>
        </w:rPr>
        <w:t>Reviewer#3, Concern # 3:</w:t>
      </w:r>
      <w:r>
        <w:rPr/>
        <w:t xml:space="preserve"> </w:t>
      </w:r>
      <w:r>
        <w:rPr>
          <w:color w:val="00B050"/>
        </w:rPr>
        <w:t>The comparison baselines in the second stage currently are all general unsupervised decoupling methods and do not include recent SOTA methods for semi-supervised/self-supervised decoupling in medical shapes. It is recommended to supplement the experimental results of related baselines to further highlight the performance advantages of this method; at the same time, it can also supplement the performance gap with fully supervised decoupling methods to clearly define the performance upper limit of the self-supervised scheme.</w:t>
      </w:r>
    </w:p>
    <w:p>
      <w:pPr>
        <w:pStyle w:val="TextBody"/>
        <w:bidi w:val="0"/>
        <w:spacing w:lineRule="auto" w:line="276" w:before="0" w:after="120"/>
        <w:jc w:val="left"/>
        <w:rPr/>
      </w:pPr>
      <w:r>
        <w:rPr>
          <w:b/>
        </w:rPr>
        <w:t>Author response:</w:t>
      </w:r>
      <w:r>
        <w:rPr/>
        <w:t xml:space="preserve"> We thank the reviewer for this suggestion, which we address in two parts.</w:t>
      </w:r>
    </w:p>
    <w:p>
      <w:pPr>
        <w:pStyle w:val="TextBody"/>
        <w:bidi w:val="0"/>
        <w:spacing w:lineRule="auto" w:line="276" w:before="0" w:after="120"/>
        <w:jc w:val="left"/>
        <w:rPr/>
      </w:pPr>
      <w:r>
        <w:rPr>
          <w:i/>
        </w:rPr>
        <w:t>Fully supervised upper bound.</w:t>
      </w:r>
      <w:r>
        <w:rPr/>
        <w:t xml:space="preserve"> We agree that this should be explicit. The fully supervised model uses 100% real diagnosis labels with the same architecture and losses. It already appeared as the rightmost point of Figure 4, and it is now a separate row in Table 3, trained on the same stage-1 codes as every other row and evaluated over five seeds.</w:t>
      </w:r>
    </w:p>
    <w:p>
      <w:pPr>
        <w:pStyle w:val="TextBody"/>
        <w:bidi w:val="0"/>
        <w:spacing w:lineRule="auto" w:line="276" w:before="0" w:after="120"/>
        <w:jc w:val="left"/>
        <w:rPr/>
      </w:pPr>
      <w:r>
        <w:rPr/>
        <w:t xml:space="preserve">On ADNI, the supervised model reaches a disease SAP of </w:t>
      </w:r>
      <w:r>
        <w:rPr>
          <w:shd w:fill="FFE699" w:val="clear"/>
        </w:rPr>
        <w:t>0.40 ± 0.03</w:t>
      </w:r>
      <w:r>
        <w:rPr/>
        <w:t xml:space="preserve">, against </w:t>
      </w:r>
      <w:r>
        <w:rPr>
          <w:shd w:fill="FFE699" w:val="clear"/>
        </w:rPr>
        <w:t>0.38 ± 0.03</w:t>
      </w:r>
      <w:r>
        <w:rPr/>
        <w:t xml:space="preserve"> for our self-supervised model (difference </w:t>
      </w:r>
      <w:r>
        <w:rPr>
          <w:shd w:fill="FFE699" w:val="clear"/>
        </w:rPr>
        <w:t>−0.02</w:t>
      </w:r>
      <w:r>
        <w:rPr/>
        <w:t xml:space="preserve">, 95% CI </w:t>
      </w:r>
      <w:r>
        <w:rPr>
          <w:shd w:fill="FFE699" w:val="clear"/>
        </w:rPr>
        <w:t>[−0.05, 0.01]</w:t>
      </w:r>
      <w:r>
        <w:rPr/>
        <w:t>). This remaining gap is a tenth of the gain over the best unsupervised baseline (</w:t>
      </w:r>
      <w:r>
        <w:rPr>
          <w:shd w:fill="FFE699" w:val="clear"/>
        </w:rPr>
        <w:t>+0.20</w:t>
      </w:r>
      <w:r>
        <w:rPr/>
        <w:t xml:space="preserve">). On OAI, the supervised model reaches </w:t>
      </w:r>
      <w:r>
        <w:rPr>
          <w:shd w:fill="FFE699" w:val="clear"/>
        </w:rPr>
        <w:t>0.29 ± 0.02</w:t>
      </w:r>
      <w:r>
        <w:rPr/>
        <w:t xml:space="preserve"> and ours </w:t>
      </w:r>
      <w:r>
        <w:rPr>
          <w:shd w:fill="FFE699" w:val="clear"/>
        </w:rPr>
        <w:t>0.25 ± 0.02</w:t>
      </w:r>
      <w:r>
        <w:rPr/>
        <w:t xml:space="preserve">, so the self-supervised scheme recovers </w:t>
      </w:r>
      <w:r>
        <w:rPr>
          <w:shd w:fill="FFE699" w:val="clear"/>
        </w:rPr>
        <w:t>86%</w:t>
      </w:r>
      <w:r>
        <w:rPr/>
        <w:t xml:space="preserve"> of the supervised performance. Together with the label-fraction experiment (Figure 4), this defines the upper limit of the self-supervised scheme on both cohorts.</w:t>
      </w:r>
    </w:p>
    <w:p>
      <w:pPr>
        <w:pStyle w:val="TextBody"/>
        <w:bidi w:val="0"/>
        <w:spacing w:lineRule="auto" w:line="276" w:before="0" w:after="120"/>
        <w:jc w:val="left"/>
        <w:rPr/>
      </w:pPr>
      <w:r>
        <w:rPr>
          <w:i/>
        </w:rPr>
        <w:t>Semi- and self-supervised medical shape methods.</w:t>
      </w:r>
      <w:r>
        <w:rPr/>
        <w:t xml:space="preserve"> We reviewed the most closely related methods. None of them can be applied directly under our input and label conditions:</w:t>
      </w:r>
    </w:p>
    <w:p>
      <w:pPr>
        <w:pStyle w:val="TextBody"/>
        <w:bidi w:val="0"/>
        <w:spacing w:lineRule="auto" w:line="276" w:before="0" w:after="120"/>
        <w:jc w:val="left"/>
        <w:rPr/>
      </w:pPr>
      <w:r>
        <w:rPr/>
        <w:t xml:space="preserve">• </w:t>
      </w:r>
      <w:r>
        <w:rPr/>
        <w:t>mini-batch feature swapping [25] requires meshes with fixed connectivity and operates on vertex positions;</w:t>
      </w:r>
    </w:p>
    <w:p>
      <w:pPr>
        <w:pStyle w:val="TextBody"/>
        <w:bidi w:val="0"/>
        <w:spacing w:lineRule="auto" w:line="276" w:before="0" w:after="120"/>
        <w:jc w:val="left"/>
        <w:rPr/>
      </w:pPr>
      <w:r>
        <w:rPr/>
        <w:t xml:space="preserve">• </w:t>
      </w:r>
      <w:r>
        <w:rPr/>
        <w:t>the variational graph autoencoder of Kiechle et al. [17] and our mesh VAE [18] are fully supervised and mesh-based;</w:t>
      </w:r>
    </w:p>
    <w:p>
      <w:pPr>
        <w:pStyle w:val="TextBody"/>
        <w:bidi w:val="0"/>
        <w:spacing w:lineRule="auto" w:line="276" w:before="0" w:after="120"/>
        <w:jc w:val="left"/>
        <w:rPr/>
      </w:pPr>
      <w:r>
        <w:rPr/>
        <w:t xml:space="preserve">• </w:t>
      </w:r>
      <w:r>
        <w:rPr/>
        <w:t>contrastive-analysis models [30], [31] require a labelled background (healthy) cohort, which amounts to diagnosis supervision;</w:t>
      </w:r>
    </w:p>
    <w:p>
      <w:pPr>
        <w:pStyle w:val="TextBody"/>
        <w:bidi w:val="0"/>
        <w:spacing w:lineRule="auto" w:line="276" w:before="0" w:after="120"/>
        <w:jc w:val="left"/>
        <w:rPr/>
      </w:pPr>
      <w:r>
        <w:rPr/>
        <w:t xml:space="preserve">• </w:t>
      </w:r>
      <w:r>
        <w:rPr/>
        <w:t>the weakly supervised method of Ouyang et al. [16] requires longitudinal image pairs.</w:t>
      </w:r>
    </w:p>
    <w:p>
      <w:pPr>
        <w:pStyle w:val="TextBody"/>
        <w:bidi w:val="0"/>
        <w:spacing w:lineRule="auto" w:line="276" w:before="0" w:after="120"/>
        <w:jc w:val="left"/>
        <w:rPr/>
      </w:pPr>
      <w:r>
        <w:rPr/>
        <w:t>To nevertheless provide a representative weakly supervised medical baseline with identical inputs, we implemented an attribute-regularized VAE in the style of Attri-VAE [27] on the same stage-1 codes. It uses the same pseudo-labels and age labels, with an attribute loss on the designated coordinates in place of our SNNL and regularization terms.</w:t>
      </w:r>
    </w:p>
    <w:p>
      <w:pPr>
        <w:pStyle w:val="TextBody"/>
        <w:bidi w:val="0"/>
        <w:spacing w:lineRule="auto" w:line="276" w:before="0" w:after="120"/>
        <w:jc w:val="left"/>
        <w:rPr/>
      </w:pPr>
      <w:r>
        <w:rPr/>
        <w:t xml:space="preserve">This baseline improves clearly on the unsupervised baselines but remains below our model on disease SAP: </w:t>
      </w:r>
      <w:r>
        <w:rPr>
          <w:shd w:fill="FFE699" w:val="clear"/>
        </w:rPr>
        <w:t>0.29 ± 0.04</w:t>
      </w:r>
      <w:r>
        <w:rPr/>
        <w:t xml:space="preserve"> against </w:t>
      </w:r>
      <w:r>
        <w:rPr>
          <w:shd w:fill="FFE699" w:val="clear"/>
        </w:rPr>
        <w:t>0.38 ± 0.03</w:t>
      </w:r>
      <w:r>
        <w:rPr/>
        <w:t xml:space="preserve"> on ADNI (</w:t>
      </w:r>
      <w:r>
        <w:rPr>
          <w:shd w:fill="FFE699" w:val="clear"/>
        </w:rPr>
        <w:t>p = 0.004</w:t>
      </w:r>
      <w:r>
        <w:rPr/>
        <w:t xml:space="preserve">), and </w:t>
      </w:r>
      <w:r>
        <w:rPr>
          <w:shd w:fill="FFE699" w:val="clear"/>
        </w:rPr>
        <w:t>0.20 ± 0.03</w:t>
      </w:r>
      <w:r>
        <w:rPr/>
        <w:t xml:space="preserve"> against </w:t>
      </w:r>
      <w:r>
        <w:rPr>
          <w:shd w:fill="FFE699" w:val="clear"/>
        </w:rPr>
        <w:t>0.25 ± 0.02</w:t>
      </w:r>
      <w:r>
        <w:rPr/>
        <w:t xml:space="preserve"> on OAI (</w:t>
      </w:r>
      <w:r>
        <w:rPr>
          <w:shd w:fill="FFE699" w:val="clear"/>
        </w:rPr>
        <w:t>p = 0.02</w:t>
      </w:r>
      <w:r>
        <w:rPr/>
        <w:t>). Because both models receive exactly the same pseudo-labels, this comparison isolates the contribution of our training objective from that of the pseudo-labels themselves.</w:t>
      </w:r>
    </w:p>
    <w:p>
      <w:pPr>
        <w:pStyle w:val="TextBody"/>
        <w:bidi w:val="0"/>
        <w:spacing w:lineRule="auto" w:line="276" w:before="0" w:after="120"/>
        <w:jc w:val="left"/>
        <w:rPr/>
      </w:pPr>
      <w:r>
        <w:rPr>
          <w:b/>
        </w:rPr>
        <w:t>Author action:</w:t>
      </w:r>
      <w:r>
        <w:rPr/>
        <w:t xml:space="preserve"> We updated the manuscript by:</w:t>
      </w:r>
    </w:p>
    <w:p>
      <w:pPr>
        <w:pStyle w:val="TextBody"/>
        <w:bidi w:val="0"/>
        <w:spacing w:lineRule="auto" w:line="276" w:before="0" w:after="120"/>
        <w:jc w:val="left"/>
        <w:rPr/>
      </w:pPr>
      <w:r>
        <w:rPr/>
        <w:t xml:space="preserve">• </w:t>
      </w:r>
      <w:r>
        <w:rPr/>
        <w:t>Adding two rows to Table 3: a fully supervised upper bound, and an Attri-VAE-style weakly supervised baseline trained on the same pseudo-labels.</w:t>
      </w:r>
    </w:p>
    <w:p>
      <w:pPr>
        <w:pStyle w:val="TextBody"/>
        <w:bidi w:val="0"/>
        <w:spacing w:lineRule="auto" w:line="276" w:before="0" w:after="120"/>
        <w:jc w:val="left"/>
        <w:rPr/>
      </w:pPr>
      <w:r>
        <w:rPr/>
        <w:t xml:space="preserve">• </w:t>
      </w:r>
      <w:r>
        <w:rPr/>
        <w:t>Discussing both rows in Section V-A.</w:t>
      </w:r>
    </w:p>
    <w:p>
      <w:pPr>
        <w:pStyle w:val="TextBody"/>
        <w:bidi w:val="0"/>
        <w:spacing w:lineRule="auto" w:line="276" w:before="0" w:after="120"/>
        <w:jc w:val="left"/>
        <w:rPr/>
      </w:pPr>
      <w:r>
        <w:rPr/>
        <w:t xml:space="preserve">• </w:t>
      </w:r>
      <w:r>
        <w:rPr/>
        <w:t>Adding a sentence to Section II that explains why mesh-based and contrastive-analysis disentanglement methods cannot be applied directly to implicit shape codes.</w:t>
      </w:r>
    </w:p>
    <w:p>
      <w:pPr>
        <w:pStyle w:val="TextBody"/>
        <w:bidi w:val="0"/>
        <w:spacing w:lineRule="auto" w:line="276" w:before="0" w:after="120"/>
        <w:jc w:val="left"/>
        <w:rPr/>
      </w:pPr>
      <w:r>
        <w:rPr/>
        <w:t>________________________________________</w:t>
      </w:r>
    </w:p>
    <w:p>
      <w:pPr>
        <w:pStyle w:val="TextBody"/>
        <w:bidi w:val="0"/>
        <w:spacing w:lineRule="auto" w:line="276" w:before="0" w:after="120"/>
        <w:jc w:val="left"/>
        <w:rPr/>
      </w:pPr>
      <w:r>
        <w:rPr/>
        <w:t> </w:t>
      </w:r>
    </w:p>
    <w:p>
      <w:pPr>
        <w:pStyle w:val="TextBody"/>
        <w:bidi w:val="0"/>
        <w:spacing w:before="0" w:after="120"/>
        <w:jc w:val="left"/>
        <w:rPr>
          <w:i/>
        </w:rPr>
      </w:pPr>
      <w:r>
        <w:rPr>
          <w:i/>
        </w:rPr>
        <w:t>Note: References suggested by reviewers should only be added if it is relevant to the article and makes it more complete. Excessive cases of recommending non-relevant articles should be reported to ieeeaccesseic@ieee.org</w:t>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CA" w:eastAsia="zh-CN" w:bidi="hi-IN"/>
      </w:rPr>
    </w:rPrDefault>
    <w:pPrDefault>
      <w:pPr>
        <w:suppressAutoHyphens w:val="true"/>
      </w:pPr>
    </w:pPrDefault>
  </w:docDefaults>
  <w:style w:type="paragraph" w:styleId="Normal">
    <w:name w:val="Normal"/>
    <w:qFormat/>
    <w:pPr>
      <w:widowControl w:val="false"/>
      <w:bidi w:val="0"/>
      <w:spacing w:lineRule="auto" w:line="324"/>
    </w:pPr>
    <w:rPr>
      <w:rFonts w:ascii="Times New Roman;Times;serif" w:hAnsi="Times New Roman;Times;serif" w:eastAsia="Times New Roman;Times;serif" w:cs="Times New Roman;Times;serif"/>
      <w:color w:val="auto"/>
      <w:sz w:val="22"/>
      <w:szCs w:val="22"/>
      <w:lang w:val="en-CA"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2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z w:val="20"/>
      <w:szCs w:val="20"/>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cp:revision>0</cp:revision>
  <dc:subject/>
  <dc:title>Response to Reviewers - Access-2026-31159</dc:title>
</cp:coreProperties>
</file>

<file path=docProps/custom.xml><?xml version="1.0" encoding="utf-8"?>
<Properties xmlns="http://schemas.openxmlformats.org/officeDocument/2006/custom-properties" xmlns:vt="http://schemas.openxmlformats.org/officeDocument/2006/docPropsVTypes"/>
</file>