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B448" w14:textId="33EDBB4C" w:rsidR="006C631C" w:rsidRDefault="00FE74BF" w:rsidP="00FE74BF">
      <w:pPr>
        <w:pStyle w:val="Title1"/>
        <w:spacing w:after="0"/>
        <w:rPr>
          <w:lang w:val="de-DE"/>
        </w:rPr>
      </w:pPr>
      <w:r>
        <w:rPr>
          <w:lang w:val="de-DE"/>
        </w:rPr>
        <w:t>Fairness in Focus: Quantitative Insights into Bias within Machine Learning Risk Evaluations and Established Credit Models</w:t>
      </w:r>
      <w:r w:rsidR="00DA54D0">
        <w:rPr>
          <w:lang w:val="de-DE"/>
        </w:rPr>
        <w:t xml:space="preserve"> </w:t>
      </w:r>
    </w:p>
    <w:p w14:paraId="42650466" w14:textId="77777777" w:rsidR="006C631C" w:rsidRDefault="006C631C" w:rsidP="006C631C">
      <w:pPr>
        <w:pStyle w:val="author"/>
        <w:rPr>
          <w:lang w:val="de-DE"/>
        </w:rPr>
      </w:pPr>
    </w:p>
    <w:p w14:paraId="38669984" w14:textId="28D204B0" w:rsidR="0036325E" w:rsidRDefault="0036325E" w:rsidP="0036325E">
      <w:pPr>
        <w:pStyle w:val="author"/>
        <w:rPr>
          <w:lang w:val="de-DE"/>
        </w:rPr>
      </w:pPr>
      <w:r>
        <w:rPr>
          <w:lang w:val="de-DE"/>
        </w:rPr>
        <w:t>Jacob For</w:t>
      </w:r>
      <w:r w:rsidR="00DE083E">
        <w:rPr>
          <w:lang w:val="de-DE"/>
        </w:rPr>
        <w:t>d</w:t>
      </w:r>
      <w:r w:rsidR="0053068B">
        <w:rPr>
          <w:lang w:val="de-DE"/>
        </w:rPr>
        <w:t>, Senior Data Scientist</w:t>
      </w:r>
    </w:p>
    <w:p w14:paraId="531C3C56" w14:textId="77777777" w:rsidR="0036325E" w:rsidRDefault="0036325E" w:rsidP="0036325E">
      <w:pPr>
        <w:pStyle w:val="address"/>
        <w:rPr>
          <w:lang w:val="de-DE"/>
        </w:rPr>
      </w:pPr>
      <w:r>
        <w:rPr>
          <w:lang w:val="de-DE"/>
        </w:rPr>
        <w:t>Solstice Power Technologies, LLC</w:t>
      </w:r>
    </w:p>
    <w:p w14:paraId="7D4391D8" w14:textId="26F63FA0" w:rsidR="00DE083E" w:rsidRDefault="00CE5CAE" w:rsidP="001C1002">
      <w:pPr>
        <w:pStyle w:val="address"/>
        <w:rPr>
          <w:lang w:val="de-DE"/>
        </w:rPr>
      </w:pPr>
      <w:r>
        <w:rPr>
          <w:lang w:val="de-DE"/>
        </w:rPr>
        <w:t>160 Alewife Brok Parkway, #</w:t>
      </w:r>
      <w:r w:rsidR="00BD17DE">
        <w:rPr>
          <w:lang w:val="de-DE"/>
        </w:rPr>
        <w:t>1048</w:t>
      </w:r>
      <w:r>
        <w:rPr>
          <w:lang w:val="de-DE"/>
        </w:rPr>
        <w:t xml:space="preserve">, Cambridge, MA </w:t>
      </w:r>
      <w:r w:rsidR="006B515E">
        <w:rPr>
          <w:lang w:val="de-DE"/>
        </w:rPr>
        <w:t>02138</w:t>
      </w:r>
    </w:p>
    <w:p w14:paraId="243F0D2C" w14:textId="77777777" w:rsidR="00DE083E" w:rsidRPr="00250FAA" w:rsidRDefault="00DE083E" w:rsidP="00DE083E">
      <w:pPr>
        <w:pStyle w:val="address"/>
        <w:rPr>
          <w:rStyle w:val="e-mail"/>
          <w:lang w:val="de-DE"/>
        </w:rPr>
      </w:pPr>
      <w:r>
        <w:rPr>
          <w:rStyle w:val="e-mail"/>
        </w:rPr>
        <w:t>jake@solstice.us</w:t>
      </w:r>
    </w:p>
    <w:p w14:paraId="05C9D89C" w14:textId="77777777" w:rsidR="0036325E" w:rsidRDefault="006C631C" w:rsidP="0036325E">
      <w:pPr>
        <w:pStyle w:val="abstract"/>
      </w:pPr>
      <w:r>
        <w:rPr>
          <w:b/>
        </w:rPr>
        <w:t>Abstract.</w:t>
      </w:r>
      <w:r>
        <w:t xml:space="preserve"> </w:t>
      </w:r>
      <w:r w:rsidR="0036325E">
        <w:t>As the adoption of machine learning algorithms expands across industries, concerns arise about their potential to inadvertently perpetuate existing biases. This study critically examines the bias present in a machine learning risk assessment tool called EnergyScore, contrasting it with conventional credit score</w:t>
      </w:r>
    </w:p>
    <w:p w14:paraId="2B8783E8" w14:textId="49068A91" w:rsidR="006C631C" w:rsidRDefault="0036325E" w:rsidP="0036325E">
      <w:pPr>
        <w:pStyle w:val="abstract"/>
      </w:pPr>
      <w:r>
        <w:t>models. Our research pursues two objectives: (1) to scrutinize the extent of bias based on classical fairness benchmarks, and (2) to innovate in bias analysis by augmenting the number of protected categories observed</w:t>
      </w:r>
      <w:r w:rsidR="000119E6">
        <w:t xml:space="preserve"> and proposing a simple quantitative evaluation heuristic</w:t>
      </w:r>
      <w:r>
        <w:t xml:space="preserve">. </w:t>
      </w:r>
      <w:r w:rsidR="000119E6">
        <w:t xml:space="preserve">Notably, our findings indicate that for low-income customers, the variance across all threshold scenarios was over seven times lower when using a machine learning model compared to traditional FICO scores. </w:t>
      </w:r>
      <w:r>
        <w:t>The insights presented emphasize the imperative nature of evaluating and mitigating bias in machine learning implementations across multiple protected classes. Our results show the machine learning model results in lower degrees of variance in various thresholds for most considered protected classes.</w:t>
      </w:r>
    </w:p>
    <w:p w14:paraId="08DC2DB5" w14:textId="77777777" w:rsidR="00301BC2" w:rsidRDefault="00301BC2" w:rsidP="00301BC2">
      <w:pPr>
        <w:pStyle w:val="abstract"/>
        <w:spacing w:after="0"/>
      </w:pPr>
    </w:p>
    <w:p w14:paraId="01D224BE" w14:textId="77777777" w:rsidR="00301BC2" w:rsidRDefault="00301BC2" w:rsidP="00301BC2">
      <w:pPr>
        <w:pStyle w:val="keywords"/>
      </w:pPr>
      <w:r>
        <w:rPr>
          <w:b/>
        </w:rPr>
        <w:t xml:space="preserve">Keywords. </w:t>
      </w:r>
      <w:r>
        <w:rPr>
          <w:bCs/>
        </w:rPr>
        <w:t xml:space="preserve">Machine learning bias, protected classes, </w:t>
      </w:r>
      <w:r w:rsidR="00D05806">
        <w:t xml:space="preserve">risk evaluation. </w:t>
      </w:r>
    </w:p>
    <w:p w14:paraId="75D83209" w14:textId="77777777" w:rsidR="00D05806" w:rsidRDefault="00D05806" w:rsidP="00D05806">
      <w:pPr>
        <w:pStyle w:val="heading1"/>
        <w:rPr>
          <w:bCs w:val="0"/>
          <w:sz w:val="18"/>
        </w:rPr>
      </w:pPr>
      <w:r>
        <w:rPr>
          <w:bCs w:val="0"/>
          <w:sz w:val="18"/>
        </w:rPr>
        <w:t>Introduction</w:t>
      </w:r>
    </w:p>
    <w:p w14:paraId="02047923" w14:textId="7DBAC065" w:rsidR="00AF2D1C" w:rsidRDefault="00D05806" w:rsidP="00D23831">
      <w:pPr>
        <w:pStyle w:val="p1a"/>
      </w:pPr>
      <w:r w:rsidRPr="00D05806">
        <w:t xml:space="preserve">As the use of machine learning algorithms continues to spread across industries, concerns about the potential for these algorithms to amplify existing biases have </w:t>
      </w:r>
      <w:r w:rsidR="007200CB">
        <w:t>increased</w:t>
      </w:r>
      <w:r w:rsidRPr="00D05806">
        <w:t>. Various techniques for measuring bias in machine learning models have been developed. This study deploys common</w:t>
      </w:r>
      <w:r w:rsidR="007200CB">
        <w:t xml:space="preserve">ly accepted machine learning </w:t>
      </w:r>
      <w:r w:rsidRPr="00D05806">
        <w:t>bias metrics within a risk assessment algorithm</w:t>
      </w:r>
      <w:r w:rsidR="007200CB">
        <w:t xml:space="preserve">, </w:t>
      </w:r>
      <w:r w:rsidRPr="00D05806">
        <w:t xml:space="preserve">comparing </w:t>
      </w:r>
      <w:r w:rsidR="007200CB">
        <w:t xml:space="preserve">the model’s bias comparisons </w:t>
      </w:r>
      <w:r w:rsidRPr="00D05806">
        <w:t>to traditional credit score model</w:t>
      </w:r>
      <w:r w:rsidR="007200CB">
        <w:t>ing</w:t>
      </w:r>
      <w:r w:rsidRPr="00D05806">
        <w:t>. Th</w:t>
      </w:r>
      <w:r w:rsidR="007200CB">
        <w:t>is research</w:t>
      </w:r>
      <w:r w:rsidRPr="00D05806">
        <w:t xml:space="preserve"> aims to achieve two objectives: first, to </w:t>
      </w:r>
      <w:r w:rsidR="007200CB">
        <w:t>conduct a case study to assess</w:t>
      </w:r>
      <w:r w:rsidRPr="00D05806">
        <w:t xml:space="preserve"> the level of bias using traditional fairness criteria</w:t>
      </w:r>
      <w:r w:rsidR="007200CB">
        <w:t xml:space="preserve">; </w:t>
      </w:r>
      <w:r w:rsidRPr="00D05806">
        <w:t>and second</w:t>
      </w:r>
      <w:r w:rsidR="007200CB">
        <w:t>ly</w:t>
      </w:r>
      <w:r w:rsidRPr="00D05806">
        <w:t>, to conduct a novel analysis by extending the number of protected classes considered. The results of this study will provide a quantitative comparison of the degree of discrimination faced by different protected classes in this specific use case</w:t>
      </w:r>
      <w:r w:rsidR="00D23831">
        <w:t xml:space="preserve">. </w:t>
      </w:r>
    </w:p>
    <w:p w14:paraId="00A7F37C" w14:textId="77777777" w:rsidR="00AF2D1C" w:rsidRDefault="00AF2D1C" w:rsidP="00AF2D1C">
      <w:pPr>
        <w:pStyle w:val="heading2"/>
      </w:pPr>
      <w:r>
        <w:lastRenderedPageBreak/>
        <w:t>Background</w:t>
      </w:r>
    </w:p>
    <w:p w14:paraId="46347F44" w14:textId="354D77F7" w:rsidR="00AF2D1C" w:rsidRDefault="00AF2D1C" w:rsidP="00AF2D1C">
      <w:pPr>
        <w:overflowPunct/>
        <w:spacing w:line="240" w:lineRule="auto"/>
        <w:ind w:firstLine="0"/>
        <w:jc w:val="left"/>
        <w:textAlignment w:val="auto"/>
      </w:pPr>
      <w:r w:rsidRPr="00AF2D1C">
        <w:t xml:space="preserve">Fairness through unawareness, an approach to </w:t>
      </w:r>
      <w:r w:rsidR="007200CB">
        <w:t xml:space="preserve">protected class </w:t>
      </w:r>
      <w:r w:rsidRPr="00AF2D1C">
        <w:t xml:space="preserve">neutral threshold setting in multiple industries, has been widely criticized for being ineffective. </w:t>
      </w:r>
      <w:proofErr w:type="spellStart"/>
      <w:r w:rsidRPr="00AF2D1C">
        <w:t>Dwork</w:t>
      </w:r>
      <w:proofErr w:type="spellEnd"/>
      <w:r w:rsidRPr="00AF2D1C">
        <w:t xml:space="preserve"> et al. (2011)</w:t>
      </w:r>
      <w:r w:rsidR="007200CB">
        <w:t xml:space="preserve"> </w:t>
      </w:r>
      <w:r w:rsidRPr="00AF2D1C">
        <w:t xml:space="preserve">argue that researchers should embrace protected classes in the data to achieve a more accurate analysis of fairness. A similarity metric is used to describe the degree of </w:t>
      </w:r>
      <w:r w:rsidR="007200CB">
        <w:t>cohesion</w:t>
      </w:r>
      <w:r w:rsidRPr="00AF2D1C">
        <w:t xml:space="preserve"> between individuals or groups, thereby revealing the ground truth of the distribution of the protected class. However, cases where protected class data is unavailable are not</w:t>
      </w:r>
      <w:r>
        <w:t xml:space="preserve"> </w:t>
      </w:r>
      <w:r w:rsidRPr="00AF2D1C">
        <w:t>considered in this review.</w:t>
      </w:r>
    </w:p>
    <w:p w14:paraId="67032C69" w14:textId="77777777" w:rsidR="00AF2D1C" w:rsidRPr="00AF2D1C" w:rsidRDefault="00AF2D1C" w:rsidP="00AF2D1C">
      <w:pPr>
        <w:overflowPunct/>
        <w:spacing w:line="240" w:lineRule="auto"/>
        <w:ind w:firstLine="0"/>
        <w:jc w:val="left"/>
        <w:textAlignment w:val="auto"/>
      </w:pPr>
    </w:p>
    <w:p w14:paraId="7FCBA7A2" w14:textId="2D9399F7" w:rsidR="00AF2D1C" w:rsidRDefault="00AF2D1C" w:rsidP="00AF2D1C">
      <w:pPr>
        <w:overflowPunct/>
        <w:spacing w:line="240" w:lineRule="auto"/>
        <w:ind w:firstLine="0"/>
        <w:jc w:val="left"/>
        <w:textAlignment w:val="auto"/>
      </w:pPr>
      <w:r w:rsidRPr="00AF2D1C">
        <w:t xml:space="preserve">Similarly, </w:t>
      </w:r>
      <w:proofErr w:type="spellStart"/>
      <w:r w:rsidRPr="00AF2D1C">
        <w:t>Zemel</w:t>
      </w:r>
      <w:proofErr w:type="spellEnd"/>
      <w:r w:rsidRPr="00AF2D1C">
        <w:t xml:space="preserve"> et al. (2013) </w:t>
      </w:r>
      <w:r>
        <w:t xml:space="preserve">acknowledge that bias cannot be completely eliminated from data or models, and that machine learning systems trained on historical data will inevitably inherit past biases. To address this, the authors propose a new algorithm that maps individuals to a probability distribution while preserving as much information as possible, while minimizing loss of identifiable information. The results of this algorithm show improved accuracy and significant fairness, as measured by both individual and group definitions, compared to </w:t>
      </w:r>
      <w:r w:rsidR="007200CB">
        <w:t>alternative</w:t>
      </w:r>
      <w:r>
        <w:t xml:space="preserve"> models.</w:t>
      </w:r>
    </w:p>
    <w:p w14:paraId="42EAFCD8" w14:textId="77777777" w:rsidR="00AF2D1C" w:rsidRDefault="00AF2D1C" w:rsidP="00AF2D1C">
      <w:pPr>
        <w:overflowPunct/>
        <w:spacing w:line="240" w:lineRule="auto"/>
        <w:ind w:firstLine="0"/>
        <w:jc w:val="left"/>
        <w:textAlignment w:val="auto"/>
      </w:pPr>
    </w:p>
    <w:p w14:paraId="1E48D858" w14:textId="5113BC99" w:rsidR="00721123" w:rsidRDefault="007200CB" w:rsidP="00AF2D1C">
      <w:pPr>
        <w:overflowPunct/>
        <w:spacing w:line="240" w:lineRule="auto"/>
        <w:ind w:firstLine="0"/>
        <w:jc w:val="left"/>
        <w:textAlignment w:val="auto"/>
      </w:pPr>
      <w:r>
        <w:t>Further</w:t>
      </w:r>
      <w:r w:rsidR="00AF2D1C">
        <w:t xml:space="preserve">, </w:t>
      </w:r>
      <w:r w:rsidR="00382328">
        <w:t>Suresh and Guttag (2019)</w:t>
      </w:r>
      <w:r w:rsidR="00AF2D1C">
        <w:t xml:space="preserve"> </w:t>
      </w:r>
      <w:r w:rsidR="00281A0C">
        <w:t>highlight</w:t>
      </w:r>
      <w:r w:rsidR="00AF2D1C">
        <w:t xml:space="preserve"> the importance of considering the entire life cycle of machine learning analysis to understand and mitigate sources of bias. The authors argue that blaming unfair results on biased data oversimplifies the complex processes involved in collecting, cleaning, processing, and modeling the data. These processes involve multiple human decisions that can collectively contribute to unintended results. The authors aim to increase awareness and focus on the cumulative sources of bias in machine learning, leading to the development of mitigation techniques.</w:t>
      </w:r>
    </w:p>
    <w:p w14:paraId="1AAB2D29" w14:textId="77777777" w:rsidR="00721123" w:rsidRPr="00721123" w:rsidRDefault="00721123" w:rsidP="00721123">
      <w:pPr>
        <w:pStyle w:val="NormalWeb"/>
        <w:rPr>
          <w:sz w:val="20"/>
          <w:szCs w:val="20"/>
          <w:lang w:eastAsia="de-DE"/>
        </w:rPr>
      </w:pPr>
      <w:r w:rsidRPr="00721123">
        <w:rPr>
          <w:sz w:val="20"/>
          <w:szCs w:val="20"/>
          <w:lang w:eastAsia="de-DE"/>
        </w:rPr>
        <w:t xml:space="preserve">Other significant contributions to this field include </w:t>
      </w:r>
      <w:proofErr w:type="spellStart"/>
      <w:r w:rsidRPr="00721123">
        <w:rPr>
          <w:sz w:val="20"/>
          <w:szCs w:val="20"/>
          <w:lang w:eastAsia="de-DE"/>
        </w:rPr>
        <w:t>Barocas</w:t>
      </w:r>
      <w:proofErr w:type="spellEnd"/>
      <w:r w:rsidRPr="00721123">
        <w:rPr>
          <w:sz w:val="20"/>
          <w:szCs w:val="20"/>
          <w:lang w:eastAsia="de-DE"/>
        </w:rPr>
        <w:t>, Hardt, and Narayanan (2019), who provide a comprehensive overview of fairness and machine learning, covering both technical and social considerations. They emphasize the need for transparency and accountability in the development and deployment of machine learning models. Kleinberg, Mullainathan, and Raghavan (2016) also discuss the theoretical underpinnings of fairness in machine learning, proposing fairness constraints that can be integrated into algorithm design to balance accuracy and equity.</w:t>
      </w:r>
    </w:p>
    <w:p w14:paraId="42126608" w14:textId="6BE69529" w:rsidR="00A443F0" w:rsidRPr="00721123" w:rsidRDefault="00721123" w:rsidP="00721123">
      <w:pPr>
        <w:pStyle w:val="NormalWeb"/>
        <w:rPr>
          <w:sz w:val="20"/>
          <w:szCs w:val="20"/>
          <w:lang w:eastAsia="de-DE"/>
        </w:rPr>
      </w:pPr>
      <w:r w:rsidRPr="00721123">
        <w:rPr>
          <w:sz w:val="20"/>
          <w:szCs w:val="20"/>
          <w:lang w:eastAsia="de-DE"/>
        </w:rPr>
        <w:t xml:space="preserve">Moreover, recent work by </w:t>
      </w:r>
      <w:proofErr w:type="spellStart"/>
      <w:r w:rsidRPr="00721123">
        <w:rPr>
          <w:sz w:val="20"/>
          <w:szCs w:val="20"/>
          <w:lang w:eastAsia="de-DE"/>
        </w:rPr>
        <w:t>Mehrabi</w:t>
      </w:r>
      <w:proofErr w:type="spellEnd"/>
      <w:r w:rsidRPr="00721123">
        <w:rPr>
          <w:sz w:val="20"/>
          <w:szCs w:val="20"/>
          <w:lang w:eastAsia="de-DE"/>
        </w:rPr>
        <w:t xml:space="preserve"> et al. (2021) offers a systematic survey of bias and fairness in machine learning, exploring various dimensions and sources of bias, as well as potential mitigation strategies. Their review highlights the complexity of achieving fairness and the ongoing need for interdisciplinary research to address these challenges effectively.</w:t>
      </w:r>
    </w:p>
    <w:p w14:paraId="5300F50C" w14:textId="0DC09DB5" w:rsidR="00A443F0" w:rsidRDefault="00A443F0" w:rsidP="00A443F0">
      <w:pPr>
        <w:pStyle w:val="p1a"/>
      </w:pPr>
      <w:r>
        <w:t xml:space="preserve">Case studies are useful illustrations of levels of bias measurable in machine learning applications. This research follows the approach of Hardt, Price and </w:t>
      </w:r>
      <w:proofErr w:type="spellStart"/>
      <w:r>
        <w:t>Srebro</w:t>
      </w:r>
      <w:proofErr w:type="spellEnd"/>
      <w:r>
        <w:t xml:space="preserve"> (2016), building upon their work in two distinct areas. These measurements are described in greater detail in Section 2.3. First, we compare bias measurements for the machine learning algorithm (EnergyScore) and the counterfactual where credit scores are </w:t>
      </w:r>
      <w:r>
        <w:lastRenderedPageBreak/>
        <w:t xml:space="preserve">applied. Secondly, we extend the analysis across multiple protected classes; including race, income, education and homeownership status. </w:t>
      </w:r>
    </w:p>
    <w:p w14:paraId="3ADA6BC9" w14:textId="77777777" w:rsidR="00721123" w:rsidRDefault="00721123" w:rsidP="00A443F0">
      <w:pPr>
        <w:pStyle w:val="p1a"/>
      </w:pPr>
    </w:p>
    <w:p w14:paraId="260E44FC" w14:textId="77777777" w:rsidR="00721123" w:rsidRDefault="00721123" w:rsidP="00A443F0">
      <w:pPr>
        <w:pStyle w:val="p1a"/>
      </w:pPr>
    </w:p>
    <w:p w14:paraId="161C33EE" w14:textId="77777777" w:rsidR="00A443F0" w:rsidRDefault="00A443F0" w:rsidP="00AF2D1C">
      <w:pPr>
        <w:overflowPunct/>
        <w:spacing w:line="240" w:lineRule="auto"/>
        <w:ind w:firstLine="0"/>
        <w:jc w:val="left"/>
        <w:textAlignment w:val="auto"/>
      </w:pPr>
    </w:p>
    <w:p w14:paraId="3B115FFE" w14:textId="77777777" w:rsidR="00AF2D1C" w:rsidRPr="00114AB0" w:rsidRDefault="00AF2D1C" w:rsidP="00114AB0">
      <w:pPr>
        <w:pStyle w:val="heading2"/>
        <w:rPr>
          <w:b w:val="0"/>
          <w:bCs w:val="0"/>
        </w:rPr>
      </w:pPr>
      <w:r w:rsidRPr="00382328">
        <w:rPr>
          <w:rStyle w:val="heading30"/>
          <w:b/>
          <w:bCs w:val="0"/>
        </w:rPr>
        <w:t>EnergyScore</w:t>
      </w:r>
    </w:p>
    <w:p w14:paraId="249C6CF7" w14:textId="0C59D3CF" w:rsidR="00AF2D1C" w:rsidRDefault="007200CB" w:rsidP="00AF2D1C">
      <w:pPr>
        <w:overflowPunct/>
        <w:spacing w:line="240" w:lineRule="auto"/>
        <w:ind w:firstLine="0"/>
        <w:jc w:val="left"/>
        <w:textAlignment w:val="auto"/>
      </w:pPr>
      <w:r>
        <w:t>For our case study, t</w:t>
      </w:r>
      <w:r w:rsidR="00AF2D1C">
        <w:t>he machine learning algorithm</w:t>
      </w:r>
      <w:r w:rsidR="00382328">
        <w:t xml:space="preserve"> analyzed</w:t>
      </w:r>
      <w:r w:rsidR="00AF2D1C">
        <w:t xml:space="preserve">, EnergyScore, has previously been described by </w:t>
      </w:r>
      <w:r w:rsidR="00382328">
        <w:t>Davuluri et al. (2019)</w:t>
      </w:r>
      <w:r w:rsidR="00AF2D1C">
        <w:t>. I employ the original dataset used to create EnergyScore. To allow for an analysis of protected classes and to avoid data leakage, I use the training dat</w:t>
      </w:r>
      <w:r w:rsidR="00114AB0">
        <w:t>a</w:t>
      </w:r>
      <w:r w:rsidR="00AF2D1C">
        <w:t xml:space="preserve">set to construct and re-train </w:t>
      </w:r>
      <w:r w:rsidR="00382328">
        <w:t>t</w:t>
      </w:r>
      <w:r w:rsidR="00AF2D1C">
        <w:t xml:space="preserve">he model, using the test dataset to quantify the effects on different protected classes. </w:t>
      </w:r>
    </w:p>
    <w:p w14:paraId="200D0378" w14:textId="77777777" w:rsidR="00AF2D1C" w:rsidRDefault="00AF2D1C" w:rsidP="00AF2D1C">
      <w:pPr>
        <w:overflowPunct/>
        <w:spacing w:line="240" w:lineRule="auto"/>
        <w:ind w:firstLine="0"/>
        <w:jc w:val="left"/>
        <w:textAlignment w:val="auto"/>
      </w:pPr>
    </w:p>
    <w:p w14:paraId="02DF7F9E" w14:textId="66C5A10D" w:rsidR="00091B13" w:rsidRDefault="00AF2D1C" w:rsidP="00AF2D1C">
      <w:pPr>
        <w:overflowPunct/>
        <w:spacing w:line="240" w:lineRule="auto"/>
        <w:ind w:firstLine="0"/>
        <w:jc w:val="left"/>
        <w:textAlignment w:val="auto"/>
      </w:pPr>
      <w:r>
        <w:t xml:space="preserve">EnergyScore was shown to be a more inclusive and accurate predictor of utility bill payment performance than a traditional credit score. This research will determine the extent to how different protected classes face discriminatory thresholds, using EnergyScore as the treatment compared to the </w:t>
      </w:r>
      <w:r w:rsidR="00382328">
        <w:t>traditionally</w:t>
      </w:r>
      <w:r>
        <w:t xml:space="preserve"> used credit score.</w:t>
      </w:r>
    </w:p>
    <w:p w14:paraId="06C864C4" w14:textId="77777777" w:rsidR="00AF2D1C" w:rsidRDefault="00AF2D1C" w:rsidP="00AF2D1C">
      <w:pPr>
        <w:pStyle w:val="p1a"/>
      </w:pPr>
    </w:p>
    <w:p w14:paraId="1837BF0B" w14:textId="79F49E7C" w:rsidR="00AF2D1C" w:rsidRDefault="00AF2D1C" w:rsidP="00AF2D1C">
      <w:pPr>
        <w:pStyle w:val="heading1"/>
      </w:pPr>
      <w:r>
        <w:t>Methods</w:t>
      </w:r>
    </w:p>
    <w:p w14:paraId="2DA8BFC5" w14:textId="77777777" w:rsidR="00AF2D1C" w:rsidRDefault="00AF2D1C" w:rsidP="00114AB0">
      <w:pPr>
        <w:pStyle w:val="heading2"/>
      </w:pPr>
      <w:r>
        <w:t>Data</w:t>
      </w:r>
    </w:p>
    <w:p w14:paraId="122FE0B9" w14:textId="39B23208" w:rsidR="00AF2D1C" w:rsidRDefault="00AF2D1C" w:rsidP="00AF2D1C">
      <w:pPr>
        <w:pStyle w:val="p1a"/>
      </w:pPr>
      <w:r>
        <w:t>This study uses the data used to develop EnergyScore</w:t>
      </w:r>
      <w:r w:rsidR="005679AE">
        <w:t>, expanding the analysis into additional protected classes</w:t>
      </w:r>
      <w:r>
        <w:t>. Account-level credit</w:t>
      </w:r>
      <w:r w:rsidR="00091B13">
        <w:t xml:space="preserve"> profile</w:t>
      </w:r>
      <w:r>
        <w:t xml:space="preserve"> data </w:t>
      </w:r>
      <w:r w:rsidR="00091B13">
        <w:t xml:space="preserve">was </w:t>
      </w:r>
      <w:r>
        <w:t>collected between December 2009 and November 2016</w:t>
      </w:r>
      <w:r w:rsidR="00091B13">
        <w:t xml:space="preserve"> to construct the model</w:t>
      </w:r>
      <w:r>
        <w:t xml:space="preserve">. Overall, over 800,000 observations of utility payment performance were collected across all fifty states and the District of Columbia. Credit history data, including FICO scores but also related utility payment performance history, was included as input variables. </w:t>
      </w:r>
      <w:r w:rsidR="00091B13">
        <w:t xml:space="preserve">Demographic data on race, income, education and homeowner status was collected for each respondent, allowing for any credit risk model to be analyzed using commonly applied machine learning threshold techniques in determining how these protected classes are </w:t>
      </w:r>
      <w:r w:rsidR="00246B99">
        <w:t>affected</w:t>
      </w:r>
      <w:r w:rsidR="00091B13">
        <w:t xml:space="preserve">. </w:t>
      </w:r>
    </w:p>
    <w:p w14:paraId="2F6908DA" w14:textId="77777777" w:rsidR="00246B99" w:rsidRDefault="00246B99" w:rsidP="00AF2D1C">
      <w:pPr>
        <w:pStyle w:val="p1a"/>
      </w:pPr>
    </w:p>
    <w:p w14:paraId="77BD8F0F" w14:textId="58071B52" w:rsidR="00246B99" w:rsidRDefault="00246B99" w:rsidP="00AF2D1C">
      <w:pPr>
        <w:pStyle w:val="p1a"/>
      </w:pPr>
      <w:r>
        <w:t xml:space="preserve">The output of the model is a probability of late payment on a utility tradeline account, used as a proxy for certain financed products such as community or residential solar, where often traditional credit scores are required. </w:t>
      </w:r>
    </w:p>
    <w:p w14:paraId="667E7928" w14:textId="77777777" w:rsidR="00A443F0" w:rsidRDefault="00A443F0" w:rsidP="00AF2D1C">
      <w:pPr>
        <w:pStyle w:val="p1a"/>
      </w:pPr>
    </w:p>
    <w:p w14:paraId="51CCCCE8" w14:textId="33BBF8CF" w:rsidR="00AF2D1C" w:rsidRPr="005679AE" w:rsidRDefault="00217BB2" w:rsidP="005679AE">
      <w:pPr>
        <w:pStyle w:val="heading2"/>
      </w:pPr>
      <w:r>
        <w:rPr>
          <w:rStyle w:val="heading30"/>
        </w:rPr>
        <w:t>D</w:t>
      </w:r>
      <w:r w:rsidR="00AF2D1C" w:rsidRPr="005679AE">
        <w:rPr>
          <w:rStyle w:val="heading30"/>
        </w:rPr>
        <w:t>escriptive Statistics</w:t>
      </w:r>
      <w:r w:rsidR="005679AE">
        <w:t xml:space="preserve">. </w:t>
      </w:r>
    </w:p>
    <w:p w14:paraId="38DDC6DC" w14:textId="77777777" w:rsidR="00AF2D1C" w:rsidRDefault="00AF2D1C" w:rsidP="00AF2D1C">
      <w:pPr>
        <w:pStyle w:val="p1a"/>
      </w:pPr>
    </w:p>
    <w:p w14:paraId="6137E3A0" w14:textId="31A25FD2" w:rsidR="00AF2D1C" w:rsidRDefault="00AF2D1C" w:rsidP="00AF2D1C">
      <w:pPr>
        <w:pStyle w:val="p1a"/>
      </w:pPr>
      <w:r>
        <w:t xml:space="preserve">Summary statistics are presented below in Table </w:t>
      </w:r>
      <w:r w:rsidR="005679AE">
        <w:t xml:space="preserve">1 </w:t>
      </w:r>
      <w:r>
        <w:t xml:space="preserve">for the </w:t>
      </w:r>
      <w:r w:rsidR="00091B13">
        <w:t xml:space="preserve">demographic protected classes. </w:t>
      </w:r>
      <w:r>
        <w:t xml:space="preserve">variables used in this analysis: </w:t>
      </w:r>
      <w:r w:rsidR="00091B13">
        <w:t xml:space="preserve">Totals </w:t>
      </w:r>
      <w:r>
        <w:t xml:space="preserve">may not equal due to missing data. Notably, </w:t>
      </w:r>
      <w:r>
        <w:lastRenderedPageBreak/>
        <w:t>race suffers from a large degree of data marked as 'other', comprising 91.6% of the total. This category was dropped in the threshold analysis in the 'Results' section, so is not reported here.</w:t>
      </w:r>
    </w:p>
    <w:p w14:paraId="656ABFBC" w14:textId="77777777" w:rsidR="00AF2D1C" w:rsidRDefault="00AF2D1C" w:rsidP="00AF2D1C">
      <w:pPr>
        <w:pStyle w:val="p1a"/>
      </w:pPr>
    </w:p>
    <w:tbl>
      <w:tblPr>
        <w:tblW w:w="0" w:type="auto"/>
        <w:tblCellMar>
          <w:top w:w="15" w:type="dxa"/>
          <w:left w:w="15" w:type="dxa"/>
          <w:bottom w:w="15" w:type="dxa"/>
          <w:right w:w="15" w:type="dxa"/>
        </w:tblCellMar>
        <w:tblLook w:val="04A0" w:firstRow="1" w:lastRow="0" w:firstColumn="1" w:lastColumn="0" w:noHBand="0" w:noVBand="1"/>
      </w:tblPr>
      <w:tblGrid>
        <w:gridCol w:w="2221"/>
        <w:gridCol w:w="820"/>
        <w:gridCol w:w="1057"/>
        <w:gridCol w:w="1312"/>
        <w:gridCol w:w="1485"/>
      </w:tblGrid>
      <w:tr w:rsidR="00C874BE" w14:paraId="50F949A9" w14:textId="77777777">
        <w:trPr>
          <w:divId w:val="301159638"/>
          <w:tblHeader/>
        </w:trPr>
        <w:tc>
          <w:tcPr>
            <w:tcW w:w="0" w:type="auto"/>
            <w:gridSpan w:val="5"/>
            <w:tcBorders>
              <w:top w:val="nil"/>
              <w:left w:val="nil"/>
              <w:bottom w:val="nil"/>
              <w:right w:val="nil"/>
            </w:tcBorders>
            <w:shd w:val="clear" w:color="auto" w:fill="auto"/>
            <w:tcMar>
              <w:top w:w="0" w:type="dxa"/>
              <w:left w:w="0" w:type="dxa"/>
              <w:bottom w:w="0" w:type="dxa"/>
              <w:right w:w="0" w:type="dxa"/>
            </w:tcMar>
            <w:vAlign w:val="center"/>
            <w:hideMark/>
          </w:tcPr>
          <w:p w14:paraId="37303F4D" w14:textId="49920477" w:rsidR="00C874BE" w:rsidRDefault="00C874BE">
            <w:pPr>
              <w:rPr>
                <w:rFonts w:ascii="Arial Narrow" w:hAnsi="Arial Narrow" w:cs="Open Sans"/>
                <w:color w:val="808080"/>
              </w:rPr>
            </w:pPr>
          </w:p>
        </w:tc>
      </w:tr>
      <w:tr w:rsidR="00C874BE" w14:paraId="6CD8786D" w14:textId="77777777">
        <w:trPr>
          <w:divId w:val="301159638"/>
          <w:tblHeader/>
        </w:trPr>
        <w:tc>
          <w:tcPr>
            <w:tcW w:w="0" w:type="auto"/>
            <w:shd w:val="clear" w:color="auto" w:fill="auto"/>
            <w:tcMar>
              <w:top w:w="0" w:type="dxa"/>
              <w:left w:w="0" w:type="dxa"/>
              <w:bottom w:w="0" w:type="dxa"/>
              <w:right w:w="0" w:type="dxa"/>
            </w:tcMar>
            <w:vAlign w:val="center"/>
            <w:hideMark/>
          </w:tcPr>
          <w:p w14:paraId="068BA653" w14:textId="77777777" w:rsidR="00C874BE" w:rsidRDefault="00C874BE">
            <w:pPr>
              <w:rPr>
                <w:rFonts w:ascii="Arial Narrow" w:hAnsi="Arial Narrow" w:cs="Open Sans"/>
                <w:b/>
                <w:bCs/>
                <w:color w:val="444444"/>
              </w:rPr>
            </w:pPr>
            <w:r>
              <w:rPr>
                <w:rFonts w:ascii="Arial Narrow" w:hAnsi="Arial Narrow" w:cs="Open Sans"/>
                <w:b/>
                <w:bCs/>
                <w:color w:val="444444"/>
              </w:rPr>
              <w:t xml:space="preserve">Variable </w:t>
            </w:r>
          </w:p>
        </w:tc>
        <w:tc>
          <w:tcPr>
            <w:tcW w:w="0" w:type="auto"/>
            <w:shd w:val="clear" w:color="auto" w:fill="auto"/>
            <w:tcMar>
              <w:top w:w="0" w:type="dxa"/>
              <w:left w:w="0" w:type="dxa"/>
              <w:bottom w:w="0" w:type="dxa"/>
              <w:right w:w="0" w:type="dxa"/>
            </w:tcMar>
            <w:vAlign w:val="center"/>
            <w:hideMark/>
          </w:tcPr>
          <w:p w14:paraId="36786E08" w14:textId="77777777" w:rsidR="00C874BE" w:rsidRDefault="00C874BE">
            <w:pPr>
              <w:jc w:val="right"/>
              <w:rPr>
                <w:rFonts w:ascii="Arial Narrow" w:hAnsi="Arial Narrow" w:cs="Open Sans"/>
                <w:b/>
                <w:bCs/>
                <w:color w:val="444444"/>
              </w:rPr>
            </w:pPr>
            <w:r>
              <w:rPr>
                <w:rFonts w:ascii="Arial Narrow" w:hAnsi="Arial Narrow" w:cs="Open Sans"/>
                <w:b/>
                <w:bCs/>
                <w:color w:val="444444"/>
              </w:rPr>
              <w:t xml:space="preserve">N </w:t>
            </w:r>
          </w:p>
        </w:tc>
        <w:tc>
          <w:tcPr>
            <w:tcW w:w="0" w:type="auto"/>
            <w:shd w:val="clear" w:color="auto" w:fill="auto"/>
            <w:tcMar>
              <w:top w:w="0" w:type="dxa"/>
              <w:left w:w="0" w:type="dxa"/>
              <w:bottom w:w="0" w:type="dxa"/>
              <w:right w:w="0" w:type="dxa"/>
            </w:tcMar>
            <w:vAlign w:val="center"/>
            <w:hideMark/>
          </w:tcPr>
          <w:p w14:paraId="4522055E" w14:textId="77777777" w:rsidR="00C874BE" w:rsidRDefault="00C874BE">
            <w:pPr>
              <w:jc w:val="left"/>
              <w:rPr>
                <w:rFonts w:ascii="Arial Narrow" w:hAnsi="Arial Narrow" w:cs="Open Sans"/>
                <w:b/>
                <w:bCs/>
                <w:color w:val="444444"/>
              </w:rPr>
            </w:pPr>
            <w:r>
              <w:rPr>
                <w:rFonts w:ascii="Arial Narrow" w:hAnsi="Arial Narrow" w:cs="Open Sans"/>
                <w:b/>
                <w:bCs/>
                <w:color w:val="444444"/>
              </w:rPr>
              <w:t xml:space="preserve">Frequency </w:t>
            </w:r>
          </w:p>
        </w:tc>
        <w:tc>
          <w:tcPr>
            <w:tcW w:w="0" w:type="auto"/>
            <w:shd w:val="clear" w:color="auto" w:fill="auto"/>
            <w:tcMar>
              <w:top w:w="0" w:type="dxa"/>
              <w:left w:w="0" w:type="dxa"/>
              <w:bottom w:w="0" w:type="dxa"/>
              <w:right w:w="0" w:type="dxa"/>
            </w:tcMar>
            <w:vAlign w:val="center"/>
            <w:hideMark/>
          </w:tcPr>
          <w:p w14:paraId="4534C688" w14:textId="77777777" w:rsidR="00C874BE" w:rsidRDefault="00C874BE">
            <w:pPr>
              <w:jc w:val="right"/>
              <w:rPr>
                <w:rFonts w:ascii="Arial Narrow" w:hAnsi="Arial Narrow" w:cs="Open Sans"/>
                <w:b/>
                <w:bCs/>
                <w:color w:val="444444"/>
              </w:rPr>
            </w:pPr>
            <w:r>
              <w:rPr>
                <w:rFonts w:ascii="Arial Narrow" w:hAnsi="Arial Narrow" w:cs="Open Sans"/>
                <w:b/>
                <w:bCs/>
                <w:color w:val="444444"/>
              </w:rPr>
              <w:t xml:space="preserve">Average FICO </w:t>
            </w:r>
          </w:p>
        </w:tc>
        <w:tc>
          <w:tcPr>
            <w:tcW w:w="0" w:type="auto"/>
            <w:shd w:val="clear" w:color="auto" w:fill="auto"/>
            <w:tcMar>
              <w:top w:w="0" w:type="dxa"/>
              <w:left w:w="0" w:type="dxa"/>
              <w:bottom w:w="0" w:type="dxa"/>
              <w:right w:w="0" w:type="dxa"/>
            </w:tcMar>
            <w:vAlign w:val="center"/>
            <w:hideMark/>
          </w:tcPr>
          <w:p w14:paraId="14B13204" w14:textId="77777777" w:rsidR="00C874BE" w:rsidRDefault="00C874BE">
            <w:pPr>
              <w:jc w:val="right"/>
              <w:rPr>
                <w:rFonts w:ascii="Arial Narrow" w:hAnsi="Arial Narrow" w:cs="Open Sans"/>
                <w:b/>
                <w:bCs/>
                <w:color w:val="444444"/>
              </w:rPr>
            </w:pPr>
            <w:r>
              <w:rPr>
                <w:rFonts w:ascii="Arial Narrow" w:hAnsi="Arial Narrow" w:cs="Open Sans"/>
                <w:b/>
                <w:bCs/>
                <w:color w:val="444444"/>
              </w:rPr>
              <w:t xml:space="preserve">Late Payment % </w:t>
            </w:r>
          </w:p>
        </w:tc>
      </w:tr>
      <w:tr w:rsidR="00C874BE" w14:paraId="1AA9E98F"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4790D78C" w14:textId="77777777" w:rsidR="00C874BE" w:rsidRDefault="00C874BE">
            <w:pPr>
              <w:jc w:val="left"/>
              <w:rPr>
                <w:rFonts w:ascii="Arial Narrow" w:hAnsi="Arial Narrow" w:cs="Open Sans"/>
                <w:color w:val="777777"/>
              </w:rPr>
            </w:pPr>
            <w:r>
              <w:rPr>
                <w:rStyle w:val="Strong"/>
                <w:rFonts w:ascii="Arial Narrow" w:hAnsi="Arial Narrow" w:cs="Open Sans"/>
                <w:color w:val="777777"/>
              </w:rPr>
              <w:t>Late Payment</w:t>
            </w:r>
          </w:p>
        </w:tc>
      </w:tr>
      <w:tr w:rsidR="00C874BE" w14:paraId="18865410" w14:textId="77777777">
        <w:trPr>
          <w:divId w:val="301159638"/>
        </w:trPr>
        <w:tc>
          <w:tcPr>
            <w:tcW w:w="0" w:type="auto"/>
            <w:shd w:val="clear" w:color="auto" w:fill="auto"/>
            <w:tcMar>
              <w:top w:w="0" w:type="dxa"/>
              <w:left w:w="480" w:type="dxa"/>
              <w:bottom w:w="0" w:type="dxa"/>
              <w:right w:w="0" w:type="dxa"/>
            </w:tcMar>
            <w:vAlign w:val="center"/>
            <w:hideMark/>
          </w:tcPr>
          <w:p w14:paraId="0371C24F" w14:textId="77777777" w:rsidR="00C874BE" w:rsidRDefault="00C874BE">
            <w:pPr>
              <w:rPr>
                <w:rFonts w:ascii="Arial Narrow" w:hAnsi="Arial Narrow" w:cs="Open Sans"/>
                <w:color w:val="777777"/>
              </w:rPr>
            </w:pPr>
            <w:r>
              <w:rPr>
                <w:rFonts w:ascii="Arial Narrow" w:hAnsi="Arial Narrow" w:cs="Open Sans"/>
                <w:color w:val="777777"/>
              </w:rPr>
              <w:t xml:space="preserve">Late </w:t>
            </w:r>
          </w:p>
        </w:tc>
        <w:tc>
          <w:tcPr>
            <w:tcW w:w="0" w:type="auto"/>
            <w:shd w:val="clear" w:color="auto" w:fill="auto"/>
            <w:tcMar>
              <w:top w:w="0" w:type="dxa"/>
              <w:left w:w="0" w:type="dxa"/>
              <w:bottom w:w="0" w:type="dxa"/>
              <w:right w:w="0" w:type="dxa"/>
            </w:tcMar>
            <w:vAlign w:val="center"/>
            <w:hideMark/>
          </w:tcPr>
          <w:p w14:paraId="3E37FC62" w14:textId="77777777" w:rsidR="00C874BE" w:rsidRDefault="00C874BE">
            <w:pPr>
              <w:jc w:val="right"/>
              <w:rPr>
                <w:rFonts w:ascii="Arial Narrow" w:hAnsi="Arial Narrow" w:cs="Open Sans"/>
                <w:color w:val="777777"/>
              </w:rPr>
            </w:pPr>
            <w:r>
              <w:rPr>
                <w:rFonts w:ascii="Arial Narrow" w:hAnsi="Arial Narrow" w:cs="Open Sans"/>
                <w:color w:val="777777"/>
              </w:rPr>
              <w:t xml:space="preserve">304,836 </w:t>
            </w:r>
          </w:p>
        </w:tc>
        <w:tc>
          <w:tcPr>
            <w:tcW w:w="0" w:type="auto"/>
            <w:shd w:val="clear" w:color="auto" w:fill="auto"/>
            <w:tcMar>
              <w:top w:w="0" w:type="dxa"/>
              <w:left w:w="0" w:type="dxa"/>
              <w:bottom w:w="0" w:type="dxa"/>
              <w:right w:w="0" w:type="dxa"/>
            </w:tcMar>
            <w:vAlign w:val="center"/>
            <w:hideMark/>
          </w:tcPr>
          <w:p w14:paraId="04DA1179" w14:textId="77777777" w:rsidR="00C874BE" w:rsidRDefault="00C874BE">
            <w:pPr>
              <w:jc w:val="left"/>
              <w:rPr>
                <w:rFonts w:ascii="Arial Narrow" w:hAnsi="Arial Narrow" w:cs="Open Sans"/>
                <w:color w:val="777777"/>
              </w:rPr>
            </w:pPr>
            <w:r>
              <w:rPr>
                <w:rFonts w:ascii="Arial Narrow" w:hAnsi="Arial Narrow" w:cs="Open Sans"/>
                <w:color w:val="777777"/>
              </w:rPr>
              <w:t xml:space="preserve">34.9% </w:t>
            </w:r>
          </w:p>
        </w:tc>
        <w:tc>
          <w:tcPr>
            <w:tcW w:w="0" w:type="auto"/>
            <w:shd w:val="clear" w:color="auto" w:fill="auto"/>
            <w:tcMar>
              <w:top w:w="0" w:type="dxa"/>
              <w:left w:w="0" w:type="dxa"/>
              <w:bottom w:w="0" w:type="dxa"/>
              <w:right w:w="0" w:type="dxa"/>
            </w:tcMar>
            <w:vAlign w:val="center"/>
            <w:hideMark/>
          </w:tcPr>
          <w:p w14:paraId="3CDD0894" w14:textId="77777777" w:rsidR="00C874BE" w:rsidRDefault="00C874BE">
            <w:pPr>
              <w:jc w:val="right"/>
              <w:rPr>
                <w:rFonts w:ascii="Arial Narrow" w:hAnsi="Arial Narrow" w:cs="Open Sans"/>
                <w:color w:val="777777"/>
              </w:rPr>
            </w:pPr>
            <w:r>
              <w:rPr>
                <w:rFonts w:ascii="Arial Narrow" w:hAnsi="Arial Narrow" w:cs="Open Sans"/>
                <w:color w:val="777777"/>
              </w:rPr>
              <w:t xml:space="preserve">452.587 </w:t>
            </w:r>
          </w:p>
        </w:tc>
        <w:tc>
          <w:tcPr>
            <w:tcW w:w="0" w:type="auto"/>
            <w:shd w:val="clear" w:color="auto" w:fill="auto"/>
            <w:tcMar>
              <w:top w:w="0" w:type="dxa"/>
              <w:left w:w="0" w:type="dxa"/>
              <w:bottom w:w="0" w:type="dxa"/>
              <w:right w:w="0" w:type="dxa"/>
            </w:tcMar>
            <w:vAlign w:val="center"/>
            <w:hideMark/>
          </w:tcPr>
          <w:p w14:paraId="069EE365" w14:textId="77777777" w:rsidR="00C874BE" w:rsidRDefault="00C874BE">
            <w:pPr>
              <w:jc w:val="right"/>
              <w:rPr>
                <w:rFonts w:ascii="Arial Narrow" w:hAnsi="Arial Narrow" w:cs="Open Sans"/>
                <w:color w:val="777777"/>
              </w:rPr>
            </w:pPr>
            <w:r>
              <w:rPr>
                <w:rFonts w:ascii="Arial Narrow" w:hAnsi="Arial Narrow" w:cs="Open Sans"/>
                <w:color w:val="777777"/>
              </w:rPr>
              <w:t xml:space="preserve">NA </w:t>
            </w:r>
          </w:p>
        </w:tc>
      </w:tr>
      <w:tr w:rsidR="00C874BE" w14:paraId="49BBDFDB" w14:textId="77777777">
        <w:trPr>
          <w:divId w:val="301159638"/>
        </w:trPr>
        <w:tc>
          <w:tcPr>
            <w:tcW w:w="0" w:type="auto"/>
            <w:shd w:val="clear" w:color="auto" w:fill="auto"/>
            <w:tcMar>
              <w:top w:w="0" w:type="dxa"/>
              <w:left w:w="480" w:type="dxa"/>
              <w:bottom w:w="0" w:type="dxa"/>
              <w:right w:w="0" w:type="dxa"/>
            </w:tcMar>
            <w:vAlign w:val="center"/>
            <w:hideMark/>
          </w:tcPr>
          <w:p w14:paraId="7453B064" w14:textId="77777777" w:rsidR="00C874BE" w:rsidRDefault="00C874BE">
            <w:pPr>
              <w:jc w:val="left"/>
              <w:rPr>
                <w:rFonts w:ascii="Arial Narrow" w:hAnsi="Arial Narrow" w:cs="Open Sans"/>
                <w:color w:val="777777"/>
              </w:rPr>
            </w:pPr>
            <w:r>
              <w:rPr>
                <w:rFonts w:ascii="Arial Narrow" w:hAnsi="Arial Narrow" w:cs="Open Sans"/>
                <w:color w:val="777777"/>
              </w:rPr>
              <w:t xml:space="preserve">Not Late </w:t>
            </w:r>
          </w:p>
        </w:tc>
        <w:tc>
          <w:tcPr>
            <w:tcW w:w="0" w:type="auto"/>
            <w:shd w:val="clear" w:color="auto" w:fill="auto"/>
            <w:tcMar>
              <w:top w:w="0" w:type="dxa"/>
              <w:left w:w="0" w:type="dxa"/>
              <w:bottom w:w="0" w:type="dxa"/>
              <w:right w:w="0" w:type="dxa"/>
            </w:tcMar>
            <w:vAlign w:val="center"/>
            <w:hideMark/>
          </w:tcPr>
          <w:p w14:paraId="49A2F094" w14:textId="77777777" w:rsidR="00C874BE" w:rsidRDefault="00C874BE">
            <w:pPr>
              <w:jc w:val="right"/>
              <w:rPr>
                <w:rFonts w:ascii="Arial Narrow" w:hAnsi="Arial Narrow" w:cs="Open Sans"/>
                <w:color w:val="777777"/>
              </w:rPr>
            </w:pPr>
            <w:r>
              <w:rPr>
                <w:rFonts w:ascii="Arial Narrow" w:hAnsi="Arial Narrow" w:cs="Open Sans"/>
                <w:color w:val="777777"/>
              </w:rPr>
              <w:t xml:space="preserve">567,420 </w:t>
            </w:r>
          </w:p>
        </w:tc>
        <w:tc>
          <w:tcPr>
            <w:tcW w:w="0" w:type="auto"/>
            <w:shd w:val="clear" w:color="auto" w:fill="auto"/>
            <w:tcMar>
              <w:top w:w="0" w:type="dxa"/>
              <w:left w:w="0" w:type="dxa"/>
              <w:bottom w:w="0" w:type="dxa"/>
              <w:right w:w="0" w:type="dxa"/>
            </w:tcMar>
            <w:vAlign w:val="center"/>
            <w:hideMark/>
          </w:tcPr>
          <w:p w14:paraId="0AF4282C" w14:textId="77777777" w:rsidR="00C874BE" w:rsidRDefault="00C874BE">
            <w:pPr>
              <w:jc w:val="left"/>
              <w:rPr>
                <w:rFonts w:ascii="Arial Narrow" w:hAnsi="Arial Narrow" w:cs="Open Sans"/>
                <w:color w:val="777777"/>
              </w:rPr>
            </w:pPr>
            <w:r>
              <w:rPr>
                <w:rFonts w:ascii="Arial Narrow" w:hAnsi="Arial Narrow" w:cs="Open Sans"/>
                <w:color w:val="777777"/>
              </w:rPr>
              <w:t xml:space="preserve">65.1% </w:t>
            </w:r>
          </w:p>
        </w:tc>
        <w:tc>
          <w:tcPr>
            <w:tcW w:w="0" w:type="auto"/>
            <w:shd w:val="clear" w:color="auto" w:fill="auto"/>
            <w:tcMar>
              <w:top w:w="0" w:type="dxa"/>
              <w:left w:w="0" w:type="dxa"/>
              <w:bottom w:w="0" w:type="dxa"/>
              <w:right w:w="0" w:type="dxa"/>
            </w:tcMar>
            <w:vAlign w:val="center"/>
            <w:hideMark/>
          </w:tcPr>
          <w:p w14:paraId="53B5E19F" w14:textId="77777777" w:rsidR="00C874BE" w:rsidRDefault="00C874BE">
            <w:pPr>
              <w:jc w:val="right"/>
              <w:rPr>
                <w:rFonts w:ascii="Arial Narrow" w:hAnsi="Arial Narrow" w:cs="Open Sans"/>
                <w:color w:val="777777"/>
              </w:rPr>
            </w:pPr>
            <w:r>
              <w:rPr>
                <w:rFonts w:ascii="Arial Narrow" w:hAnsi="Arial Narrow" w:cs="Open Sans"/>
                <w:color w:val="777777"/>
              </w:rPr>
              <w:t xml:space="preserve">733.680 </w:t>
            </w:r>
          </w:p>
        </w:tc>
        <w:tc>
          <w:tcPr>
            <w:tcW w:w="0" w:type="auto"/>
            <w:shd w:val="clear" w:color="auto" w:fill="auto"/>
            <w:tcMar>
              <w:top w:w="0" w:type="dxa"/>
              <w:left w:w="0" w:type="dxa"/>
              <w:bottom w:w="0" w:type="dxa"/>
              <w:right w:w="0" w:type="dxa"/>
            </w:tcMar>
            <w:vAlign w:val="center"/>
            <w:hideMark/>
          </w:tcPr>
          <w:p w14:paraId="039D6F1A" w14:textId="77777777" w:rsidR="00C874BE" w:rsidRDefault="00C874BE">
            <w:pPr>
              <w:jc w:val="right"/>
              <w:rPr>
                <w:rFonts w:ascii="Arial Narrow" w:hAnsi="Arial Narrow" w:cs="Open Sans"/>
                <w:color w:val="777777"/>
              </w:rPr>
            </w:pPr>
            <w:r>
              <w:rPr>
                <w:rFonts w:ascii="Arial Narrow" w:hAnsi="Arial Narrow" w:cs="Open Sans"/>
                <w:color w:val="777777"/>
              </w:rPr>
              <w:t xml:space="preserve">NA </w:t>
            </w:r>
          </w:p>
        </w:tc>
      </w:tr>
      <w:tr w:rsidR="00C874BE" w14:paraId="3E596CC6"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4787C33A" w14:textId="77777777" w:rsidR="00C874BE" w:rsidRDefault="00C874BE">
            <w:pPr>
              <w:jc w:val="left"/>
              <w:rPr>
                <w:rFonts w:ascii="Arial Narrow" w:hAnsi="Arial Narrow" w:cs="Open Sans"/>
                <w:color w:val="777777"/>
              </w:rPr>
            </w:pPr>
            <w:r>
              <w:rPr>
                <w:rStyle w:val="Strong"/>
                <w:rFonts w:ascii="Arial Narrow" w:hAnsi="Arial Narrow" w:cs="Open Sans"/>
                <w:color w:val="777777"/>
              </w:rPr>
              <w:t>Race</w:t>
            </w:r>
          </w:p>
        </w:tc>
      </w:tr>
      <w:tr w:rsidR="00C874BE" w14:paraId="22E8BE66" w14:textId="77777777">
        <w:trPr>
          <w:divId w:val="301159638"/>
        </w:trPr>
        <w:tc>
          <w:tcPr>
            <w:tcW w:w="0" w:type="auto"/>
            <w:shd w:val="clear" w:color="auto" w:fill="auto"/>
            <w:tcMar>
              <w:top w:w="0" w:type="dxa"/>
              <w:left w:w="480" w:type="dxa"/>
              <w:bottom w:w="0" w:type="dxa"/>
              <w:right w:w="0" w:type="dxa"/>
            </w:tcMar>
            <w:vAlign w:val="center"/>
            <w:hideMark/>
          </w:tcPr>
          <w:p w14:paraId="07AEC691" w14:textId="77777777" w:rsidR="00C874BE" w:rsidRDefault="00C874BE">
            <w:pPr>
              <w:rPr>
                <w:rFonts w:ascii="Arial Narrow" w:hAnsi="Arial Narrow" w:cs="Open Sans"/>
                <w:color w:val="777777"/>
              </w:rPr>
            </w:pPr>
            <w:r>
              <w:rPr>
                <w:rFonts w:ascii="Arial Narrow" w:hAnsi="Arial Narrow" w:cs="Open Sans"/>
                <w:color w:val="777777"/>
              </w:rPr>
              <w:t xml:space="preserve">Asian </w:t>
            </w:r>
          </w:p>
        </w:tc>
        <w:tc>
          <w:tcPr>
            <w:tcW w:w="0" w:type="auto"/>
            <w:shd w:val="clear" w:color="auto" w:fill="auto"/>
            <w:tcMar>
              <w:top w:w="0" w:type="dxa"/>
              <w:left w:w="0" w:type="dxa"/>
              <w:bottom w:w="0" w:type="dxa"/>
              <w:right w:w="0" w:type="dxa"/>
            </w:tcMar>
            <w:vAlign w:val="center"/>
            <w:hideMark/>
          </w:tcPr>
          <w:p w14:paraId="57046BF6" w14:textId="77777777" w:rsidR="00C874BE" w:rsidRDefault="00C874BE">
            <w:pPr>
              <w:jc w:val="right"/>
              <w:rPr>
                <w:rFonts w:ascii="Arial Narrow" w:hAnsi="Arial Narrow" w:cs="Open Sans"/>
                <w:color w:val="777777"/>
              </w:rPr>
            </w:pPr>
            <w:r>
              <w:rPr>
                <w:rFonts w:ascii="Arial Narrow" w:hAnsi="Arial Narrow" w:cs="Open Sans"/>
                <w:color w:val="777777"/>
              </w:rPr>
              <w:t xml:space="preserve">464 </w:t>
            </w:r>
          </w:p>
        </w:tc>
        <w:tc>
          <w:tcPr>
            <w:tcW w:w="0" w:type="auto"/>
            <w:shd w:val="clear" w:color="auto" w:fill="auto"/>
            <w:tcMar>
              <w:top w:w="0" w:type="dxa"/>
              <w:left w:w="0" w:type="dxa"/>
              <w:bottom w:w="0" w:type="dxa"/>
              <w:right w:w="0" w:type="dxa"/>
            </w:tcMar>
            <w:vAlign w:val="center"/>
            <w:hideMark/>
          </w:tcPr>
          <w:p w14:paraId="5FAE9A8D" w14:textId="77777777" w:rsidR="00C874BE" w:rsidRDefault="00C874BE">
            <w:pPr>
              <w:jc w:val="left"/>
              <w:rPr>
                <w:rFonts w:ascii="Arial Narrow" w:hAnsi="Arial Narrow" w:cs="Open Sans"/>
                <w:color w:val="777777"/>
              </w:rPr>
            </w:pPr>
            <w:r>
              <w:rPr>
                <w:rFonts w:ascii="Arial Narrow" w:hAnsi="Arial Narrow" w:cs="Open Sans"/>
                <w:color w:val="777777"/>
              </w:rPr>
              <w:t xml:space="preserve">1.8% </w:t>
            </w:r>
          </w:p>
        </w:tc>
        <w:tc>
          <w:tcPr>
            <w:tcW w:w="0" w:type="auto"/>
            <w:shd w:val="clear" w:color="auto" w:fill="auto"/>
            <w:tcMar>
              <w:top w:w="0" w:type="dxa"/>
              <w:left w:w="0" w:type="dxa"/>
              <w:bottom w:w="0" w:type="dxa"/>
              <w:right w:w="0" w:type="dxa"/>
            </w:tcMar>
            <w:vAlign w:val="center"/>
            <w:hideMark/>
          </w:tcPr>
          <w:p w14:paraId="486BF96D" w14:textId="77777777" w:rsidR="00C874BE" w:rsidRDefault="00C874BE">
            <w:pPr>
              <w:jc w:val="right"/>
              <w:rPr>
                <w:rFonts w:ascii="Arial Narrow" w:hAnsi="Arial Narrow" w:cs="Open Sans"/>
                <w:color w:val="777777"/>
              </w:rPr>
            </w:pPr>
            <w:r>
              <w:rPr>
                <w:rFonts w:ascii="Arial Narrow" w:hAnsi="Arial Narrow" w:cs="Open Sans"/>
                <w:color w:val="777777"/>
              </w:rPr>
              <w:t xml:space="preserve">664.759 </w:t>
            </w:r>
          </w:p>
        </w:tc>
        <w:tc>
          <w:tcPr>
            <w:tcW w:w="0" w:type="auto"/>
            <w:shd w:val="clear" w:color="auto" w:fill="auto"/>
            <w:tcMar>
              <w:top w:w="0" w:type="dxa"/>
              <w:left w:w="0" w:type="dxa"/>
              <w:bottom w:w="0" w:type="dxa"/>
              <w:right w:w="0" w:type="dxa"/>
            </w:tcMar>
            <w:vAlign w:val="center"/>
            <w:hideMark/>
          </w:tcPr>
          <w:p w14:paraId="714C9B25" w14:textId="77777777" w:rsidR="00C874BE" w:rsidRDefault="00C874BE">
            <w:pPr>
              <w:jc w:val="right"/>
              <w:rPr>
                <w:rFonts w:ascii="Arial Narrow" w:hAnsi="Arial Narrow" w:cs="Open Sans"/>
                <w:color w:val="777777"/>
              </w:rPr>
            </w:pPr>
            <w:r>
              <w:rPr>
                <w:rFonts w:ascii="Arial Narrow" w:hAnsi="Arial Narrow" w:cs="Open Sans"/>
                <w:color w:val="777777"/>
              </w:rPr>
              <w:t xml:space="preserve">0.291 </w:t>
            </w:r>
          </w:p>
        </w:tc>
      </w:tr>
      <w:tr w:rsidR="00C874BE" w14:paraId="18607822" w14:textId="77777777">
        <w:trPr>
          <w:divId w:val="301159638"/>
        </w:trPr>
        <w:tc>
          <w:tcPr>
            <w:tcW w:w="0" w:type="auto"/>
            <w:shd w:val="clear" w:color="auto" w:fill="auto"/>
            <w:tcMar>
              <w:top w:w="0" w:type="dxa"/>
              <w:left w:w="480" w:type="dxa"/>
              <w:bottom w:w="0" w:type="dxa"/>
              <w:right w:w="0" w:type="dxa"/>
            </w:tcMar>
            <w:vAlign w:val="center"/>
            <w:hideMark/>
          </w:tcPr>
          <w:p w14:paraId="55DD0E5E" w14:textId="77777777" w:rsidR="00C874BE" w:rsidRDefault="00C874BE">
            <w:pPr>
              <w:jc w:val="left"/>
              <w:rPr>
                <w:rFonts w:ascii="Arial Narrow" w:hAnsi="Arial Narrow" w:cs="Open Sans"/>
                <w:color w:val="777777"/>
              </w:rPr>
            </w:pPr>
            <w:r>
              <w:rPr>
                <w:rFonts w:ascii="Arial Narrow" w:hAnsi="Arial Narrow" w:cs="Open Sans"/>
                <w:color w:val="777777"/>
              </w:rPr>
              <w:t xml:space="preserve">Black </w:t>
            </w:r>
          </w:p>
        </w:tc>
        <w:tc>
          <w:tcPr>
            <w:tcW w:w="0" w:type="auto"/>
            <w:shd w:val="clear" w:color="auto" w:fill="auto"/>
            <w:tcMar>
              <w:top w:w="0" w:type="dxa"/>
              <w:left w:w="0" w:type="dxa"/>
              <w:bottom w:w="0" w:type="dxa"/>
              <w:right w:w="0" w:type="dxa"/>
            </w:tcMar>
            <w:vAlign w:val="center"/>
            <w:hideMark/>
          </w:tcPr>
          <w:p w14:paraId="1C7D18A6" w14:textId="77777777" w:rsidR="00C874BE" w:rsidRDefault="00C874BE">
            <w:pPr>
              <w:jc w:val="right"/>
              <w:rPr>
                <w:rFonts w:ascii="Arial Narrow" w:hAnsi="Arial Narrow" w:cs="Open Sans"/>
                <w:color w:val="777777"/>
              </w:rPr>
            </w:pPr>
            <w:r>
              <w:rPr>
                <w:rFonts w:ascii="Arial Narrow" w:hAnsi="Arial Narrow" w:cs="Open Sans"/>
                <w:color w:val="777777"/>
              </w:rPr>
              <w:t xml:space="preserve">7,625 </w:t>
            </w:r>
          </w:p>
        </w:tc>
        <w:tc>
          <w:tcPr>
            <w:tcW w:w="0" w:type="auto"/>
            <w:shd w:val="clear" w:color="auto" w:fill="auto"/>
            <w:tcMar>
              <w:top w:w="0" w:type="dxa"/>
              <w:left w:w="0" w:type="dxa"/>
              <w:bottom w:w="0" w:type="dxa"/>
              <w:right w:w="0" w:type="dxa"/>
            </w:tcMar>
            <w:vAlign w:val="center"/>
            <w:hideMark/>
          </w:tcPr>
          <w:p w14:paraId="06274C62" w14:textId="77777777" w:rsidR="00C874BE" w:rsidRDefault="00C874BE">
            <w:pPr>
              <w:jc w:val="left"/>
              <w:rPr>
                <w:rFonts w:ascii="Arial Narrow" w:hAnsi="Arial Narrow" w:cs="Open Sans"/>
                <w:color w:val="777777"/>
              </w:rPr>
            </w:pPr>
            <w:r>
              <w:rPr>
                <w:rFonts w:ascii="Arial Narrow" w:hAnsi="Arial Narrow" w:cs="Open Sans"/>
                <w:color w:val="777777"/>
              </w:rPr>
              <w:t xml:space="preserve">29.3% </w:t>
            </w:r>
          </w:p>
        </w:tc>
        <w:tc>
          <w:tcPr>
            <w:tcW w:w="0" w:type="auto"/>
            <w:shd w:val="clear" w:color="auto" w:fill="auto"/>
            <w:tcMar>
              <w:top w:w="0" w:type="dxa"/>
              <w:left w:w="0" w:type="dxa"/>
              <w:bottom w:w="0" w:type="dxa"/>
              <w:right w:w="0" w:type="dxa"/>
            </w:tcMar>
            <w:vAlign w:val="center"/>
            <w:hideMark/>
          </w:tcPr>
          <w:p w14:paraId="2CAA084C" w14:textId="77777777" w:rsidR="00C874BE" w:rsidRDefault="00C874BE">
            <w:pPr>
              <w:jc w:val="right"/>
              <w:rPr>
                <w:rFonts w:ascii="Arial Narrow" w:hAnsi="Arial Narrow" w:cs="Open Sans"/>
                <w:color w:val="777777"/>
              </w:rPr>
            </w:pPr>
            <w:r>
              <w:rPr>
                <w:rFonts w:ascii="Arial Narrow" w:hAnsi="Arial Narrow" w:cs="Open Sans"/>
                <w:color w:val="777777"/>
              </w:rPr>
              <w:t xml:space="preserve">548.416 </w:t>
            </w:r>
          </w:p>
        </w:tc>
        <w:tc>
          <w:tcPr>
            <w:tcW w:w="0" w:type="auto"/>
            <w:shd w:val="clear" w:color="auto" w:fill="auto"/>
            <w:tcMar>
              <w:top w:w="0" w:type="dxa"/>
              <w:left w:w="0" w:type="dxa"/>
              <w:bottom w:w="0" w:type="dxa"/>
              <w:right w:w="0" w:type="dxa"/>
            </w:tcMar>
            <w:vAlign w:val="center"/>
            <w:hideMark/>
          </w:tcPr>
          <w:p w14:paraId="120D0409" w14:textId="77777777" w:rsidR="00C874BE" w:rsidRDefault="00C874BE">
            <w:pPr>
              <w:jc w:val="right"/>
              <w:rPr>
                <w:rFonts w:ascii="Arial Narrow" w:hAnsi="Arial Narrow" w:cs="Open Sans"/>
                <w:color w:val="777777"/>
              </w:rPr>
            </w:pPr>
            <w:r>
              <w:rPr>
                <w:rFonts w:ascii="Arial Narrow" w:hAnsi="Arial Narrow" w:cs="Open Sans"/>
                <w:color w:val="777777"/>
              </w:rPr>
              <w:t xml:space="preserve">0.662 </w:t>
            </w:r>
          </w:p>
        </w:tc>
      </w:tr>
      <w:tr w:rsidR="00C874BE" w14:paraId="3109E307" w14:textId="77777777">
        <w:trPr>
          <w:divId w:val="301159638"/>
        </w:trPr>
        <w:tc>
          <w:tcPr>
            <w:tcW w:w="0" w:type="auto"/>
            <w:shd w:val="clear" w:color="auto" w:fill="auto"/>
            <w:tcMar>
              <w:top w:w="0" w:type="dxa"/>
              <w:left w:w="480" w:type="dxa"/>
              <w:bottom w:w="0" w:type="dxa"/>
              <w:right w:w="0" w:type="dxa"/>
            </w:tcMar>
            <w:vAlign w:val="center"/>
            <w:hideMark/>
          </w:tcPr>
          <w:p w14:paraId="47ED5FEE" w14:textId="77777777" w:rsidR="00C874BE" w:rsidRDefault="00C874BE">
            <w:pPr>
              <w:jc w:val="left"/>
              <w:rPr>
                <w:rFonts w:ascii="Arial Narrow" w:hAnsi="Arial Narrow" w:cs="Open Sans"/>
                <w:color w:val="777777"/>
              </w:rPr>
            </w:pPr>
            <w:r>
              <w:rPr>
                <w:rFonts w:ascii="Arial Narrow" w:hAnsi="Arial Narrow" w:cs="Open Sans"/>
                <w:color w:val="777777"/>
              </w:rPr>
              <w:t xml:space="preserve">Hispanic </w:t>
            </w:r>
          </w:p>
        </w:tc>
        <w:tc>
          <w:tcPr>
            <w:tcW w:w="0" w:type="auto"/>
            <w:shd w:val="clear" w:color="auto" w:fill="auto"/>
            <w:tcMar>
              <w:top w:w="0" w:type="dxa"/>
              <w:left w:w="0" w:type="dxa"/>
              <w:bottom w:w="0" w:type="dxa"/>
              <w:right w:w="0" w:type="dxa"/>
            </w:tcMar>
            <w:vAlign w:val="center"/>
            <w:hideMark/>
          </w:tcPr>
          <w:p w14:paraId="78861469" w14:textId="77777777" w:rsidR="00C874BE" w:rsidRDefault="00C874BE">
            <w:pPr>
              <w:jc w:val="right"/>
              <w:rPr>
                <w:rFonts w:ascii="Arial Narrow" w:hAnsi="Arial Narrow" w:cs="Open Sans"/>
                <w:color w:val="777777"/>
              </w:rPr>
            </w:pPr>
            <w:r>
              <w:rPr>
                <w:rFonts w:ascii="Arial Narrow" w:hAnsi="Arial Narrow" w:cs="Open Sans"/>
                <w:color w:val="777777"/>
              </w:rPr>
              <w:t xml:space="preserve">6,118 </w:t>
            </w:r>
          </w:p>
        </w:tc>
        <w:tc>
          <w:tcPr>
            <w:tcW w:w="0" w:type="auto"/>
            <w:shd w:val="clear" w:color="auto" w:fill="auto"/>
            <w:tcMar>
              <w:top w:w="0" w:type="dxa"/>
              <w:left w:w="0" w:type="dxa"/>
              <w:bottom w:w="0" w:type="dxa"/>
              <w:right w:w="0" w:type="dxa"/>
            </w:tcMar>
            <w:vAlign w:val="center"/>
            <w:hideMark/>
          </w:tcPr>
          <w:p w14:paraId="4AC9F003" w14:textId="77777777" w:rsidR="00C874BE" w:rsidRDefault="00C874BE">
            <w:pPr>
              <w:jc w:val="left"/>
              <w:rPr>
                <w:rFonts w:ascii="Arial Narrow" w:hAnsi="Arial Narrow" w:cs="Open Sans"/>
                <w:color w:val="777777"/>
              </w:rPr>
            </w:pPr>
            <w:r>
              <w:rPr>
                <w:rFonts w:ascii="Arial Narrow" w:hAnsi="Arial Narrow" w:cs="Open Sans"/>
                <w:color w:val="777777"/>
              </w:rPr>
              <w:t xml:space="preserve">23.5% </w:t>
            </w:r>
          </w:p>
        </w:tc>
        <w:tc>
          <w:tcPr>
            <w:tcW w:w="0" w:type="auto"/>
            <w:shd w:val="clear" w:color="auto" w:fill="auto"/>
            <w:tcMar>
              <w:top w:w="0" w:type="dxa"/>
              <w:left w:w="0" w:type="dxa"/>
              <w:bottom w:w="0" w:type="dxa"/>
              <w:right w:w="0" w:type="dxa"/>
            </w:tcMar>
            <w:vAlign w:val="center"/>
            <w:hideMark/>
          </w:tcPr>
          <w:p w14:paraId="40098446" w14:textId="77777777" w:rsidR="00C874BE" w:rsidRDefault="00C874BE">
            <w:pPr>
              <w:jc w:val="right"/>
              <w:rPr>
                <w:rFonts w:ascii="Arial Narrow" w:hAnsi="Arial Narrow" w:cs="Open Sans"/>
                <w:color w:val="777777"/>
              </w:rPr>
            </w:pPr>
            <w:r>
              <w:rPr>
                <w:rFonts w:ascii="Arial Narrow" w:hAnsi="Arial Narrow" w:cs="Open Sans"/>
                <w:color w:val="777777"/>
              </w:rPr>
              <w:t xml:space="preserve">666.046 </w:t>
            </w:r>
          </w:p>
        </w:tc>
        <w:tc>
          <w:tcPr>
            <w:tcW w:w="0" w:type="auto"/>
            <w:shd w:val="clear" w:color="auto" w:fill="auto"/>
            <w:tcMar>
              <w:top w:w="0" w:type="dxa"/>
              <w:left w:w="0" w:type="dxa"/>
              <w:bottom w:w="0" w:type="dxa"/>
              <w:right w:w="0" w:type="dxa"/>
            </w:tcMar>
            <w:vAlign w:val="center"/>
            <w:hideMark/>
          </w:tcPr>
          <w:p w14:paraId="48243B75" w14:textId="77777777" w:rsidR="00C874BE" w:rsidRDefault="00C874BE">
            <w:pPr>
              <w:jc w:val="right"/>
              <w:rPr>
                <w:rFonts w:ascii="Arial Narrow" w:hAnsi="Arial Narrow" w:cs="Open Sans"/>
                <w:color w:val="777777"/>
              </w:rPr>
            </w:pPr>
            <w:r>
              <w:rPr>
                <w:rFonts w:ascii="Arial Narrow" w:hAnsi="Arial Narrow" w:cs="Open Sans"/>
                <w:color w:val="777777"/>
              </w:rPr>
              <w:t xml:space="preserve">0.254 </w:t>
            </w:r>
          </w:p>
        </w:tc>
      </w:tr>
      <w:tr w:rsidR="00C874BE" w14:paraId="49B91E4A" w14:textId="77777777">
        <w:trPr>
          <w:divId w:val="301159638"/>
        </w:trPr>
        <w:tc>
          <w:tcPr>
            <w:tcW w:w="0" w:type="auto"/>
            <w:shd w:val="clear" w:color="auto" w:fill="auto"/>
            <w:tcMar>
              <w:top w:w="0" w:type="dxa"/>
              <w:left w:w="480" w:type="dxa"/>
              <w:bottom w:w="0" w:type="dxa"/>
              <w:right w:w="0" w:type="dxa"/>
            </w:tcMar>
            <w:vAlign w:val="center"/>
            <w:hideMark/>
          </w:tcPr>
          <w:p w14:paraId="6357501E" w14:textId="77777777" w:rsidR="00C874BE" w:rsidRDefault="00C874BE">
            <w:pPr>
              <w:jc w:val="left"/>
              <w:rPr>
                <w:rFonts w:ascii="Arial Narrow" w:hAnsi="Arial Narrow" w:cs="Open Sans"/>
                <w:color w:val="777777"/>
              </w:rPr>
            </w:pPr>
            <w:r>
              <w:rPr>
                <w:rFonts w:ascii="Arial Narrow" w:hAnsi="Arial Narrow" w:cs="Open Sans"/>
                <w:color w:val="777777"/>
              </w:rPr>
              <w:t xml:space="preserve">White </w:t>
            </w:r>
          </w:p>
        </w:tc>
        <w:tc>
          <w:tcPr>
            <w:tcW w:w="0" w:type="auto"/>
            <w:shd w:val="clear" w:color="auto" w:fill="auto"/>
            <w:tcMar>
              <w:top w:w="0" w:type="dxa"/>
              <w:left w:w="0" w:type="dxa"/>
              <w:bottom w:w="0" w:type="dxa"/>
              <w:right w:w="0" w:type="dxa"/>
            </w:tcMar>
            <w:vAlign w:val="center"/>
            <w:hideMark/>
          </w:tcPr>
          <w:p w14:paraId="27A9812A" w14:textId="77777777" w:rsidR="00C874BE" w:rsidRDefault="00C874BE">
            <w:pPr>
              <w:jc w:val="right"/>
              <w:rPr>
                <w:rFonts w:ascii="Arial Narrow" w:hAnsi="Arial Narrow" w:cs="Open Sans"/>
                <w:color w:val="777777"/>
              </w:rPr>
            </w:pPr>
            <w:r>
              <w:rPr>
                <w:rFonts w:ascii="Arial Narrow" w:hAnsi="Arial Narrow" w:cs="Open Sans"/>
                <w:color w:val="777777"/>
              </w:rPr>
              <w:t xml:space="preserve">11,850 </w:t>
            </w:r>
          </w:p>
        </w:tc>
        <w:tc>
          <w:tcPr>
            <w:tcW w:w="0" w:type="auto"/>
            <w:shd w:val="clear" w:color="auto" w:fill="auto"/>
            <w:tcMar>
              <w:top w:w="0" w:type="dxa"/>
              <w:left w:w="0" w:type="dxa"/>
              <w:bottom w:w="0" w:type="dxa"/>
              <w:right w:w="0" w:type="dxa"/>
            </w:tcMar>
            <w:vAlign w:val="center"/>
            <w:hideMark/>
          </w:tcPr>
          <w:p w14:paraId="2CCD022C" w14:textId="77777777" w:rsidR="00C874BE" w:rsidRDefault="00C874BE">
            <w:pPr>
              <w:jc w:val="left"/>
              <w:rPr>
                <w:rFonts w:ascii="Arial Narrow" w:hAnsi="Arial Narrow" w:cs="Open Sans"/>
                <w:color w:val="777777"/>
              </w:rPr>
            </w:pPr>
            <w:r>
              <w:rPr>
                <w:rFonts w:ascii="Arial Narrow" w:hAnsi="Arial Narrow" w:cs="Open Sans"/>
                <w:color w:val="777777"/>
              </w:rPr>
              <w:t xml:space="preserve">45.5% </w:t>
            </w:r>
          </w:p>
        </w:tc>
        <w:tc>
          <w:tcPr>
            <w:tcW w:w="0" w:type="auto"/>
            <w:shd w:val="clear" w:color="auto" w:fill="auto"/>
            <w:tcMar>
              <w:top w:w="0" w:type="dxa"/>
              <w:left w:w="0" w:type="dxa"/>
              <w:bottom w:w="0" w:type="dxa"/>
              <w:right w:w="0" w:type="dxa"/>
            </w:tcMar>
            <w:vAlign w:val="center"/>
            <w:hideMark/>
          </w:tcPr>
          <w:p w14:paraId="4FD92AA0" w14:textId="77777777" w:rsidR="00C874BE" w:rsidRDefault="00C874BE">
            <w:pPr>
              <w:jc w:val="right"/>
              <w:rPr>
                <w:rFonts w:ascii="Arial Narrow" w:hAnsi="Arial Narrow" w:cs="Open Sans"/>
                <w:color w:val="777777"/>
              </w:rPr>
            </w:pPr>
            <w:r>
              <w:rPr>
                <w:rFonts w:ascii="Arial Narrow" w:hAnsi="Arial Narrow" w:cs="Open Sans"/>
                <w:color w:val="777777"/>
              </w:rPr>
              <w:t xml:space="preserve">602.321 </w:t>
            </w:r>
          </w:p>
        </w:tc>
        <w:tc>
          <w:tcPr>
            <w:tcW w:w="0" w:type="auto"/>
            <w:shd w:val="clear" w:color="auto" w:fill="auto"/>
            <w:tcMar>
              <w:top w:w="0" w:type="dxa"/>
              <w:left w:w="0" w:type="dxa"/>
              <w:bottom w:w="0" w:type="dxa"/>
              <w:right w:w="0" w:type="dxa"/>
            </w:tcMar>
            <w:vAlign w:val="center"/>
            <w:hideMark/>
          </w:tcPr>
          <w:p w14:paraId="59451164" w14:textId="77777777" w:rsidR="00C874BE" w:rsidRDefault="00C874BE">
            <w:pPr>
              <w:jc w:val="right"/>
              <w:rPr>
                <w:rFonts w:ascii="Arial Narrow" w:hAnsi="Arial Narrow" w:cs="Open Sans"/>
                <w:color w:val="777777"/>
              </w:rPr>
            </w:pPr>
            <w:r>
              <w:rPr>
                <w:rFonts w:ascii="Arial Narrow" w:hAnsi="Arial Narrow" w:cs="Open Sans"/>
                <w:color w:val="777777"/>
              </w:rPr>
              <w:t xml:space="preserve">0.538 </w:t>
            </w:r>
          </w:p>
        </w:tc>
      </w:tr>
      <w:tr w:rsidR="00C874BE" w14:paraId="7315850E"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5DCBEB7A" w14:textId="77777777" w:rsidR="00C874BE" w:rsidRDefault="00C874BE">
            <w:pPr>
              <w:jc w:val="left"/>
              <w:rPr>
                <w:rFonts w:ascii="Arial Narrow" w:hAnsi="Arial Narrow" w:cs="Open Sans"/>
                <w:color w:val="777777"/>
              </w:rPr>
            </w:pPr>
            <w:r>
              <w:rPr>
                <w:rStyle w:val="Strong"/>
                <w:rFonts w:ascii="Arial Narrow" w:hAnsi="Arial Narrow" w:cs="Open Sans"/>
                <w:color w:val="777777"/>
              </w:rPr>
              <w:t xml:space="preserve">Home </w:t>
            </w:r>
            <w:proofErr w:type="spellStart"/>
            <w:r>
              <w:rPr>
                <w:rStyle w:val="Strong"/>
                <w:rFonts w:ascii="Arial Narrow" w:hAnsi="Arial Narrow" w:cs="Open Sans"/>
                <w:color w:val="777777"/>
              </w:rPr>
              <w:t>Ownershp</w:t>
            </w:r>
            <w:proofErr w:type="spellEnd"/>
          </w:p>
        </w:tc>
      </w:tr>
      <w:tr w:rsidR="00C874BE" w14:paraId="2864DD27" w14:textId="77777777">
        <w:trPr>
          <w:divId w:val="301159638"/>
        </w:trPr>
        <w:tc>
          <w:tcPr>
            <w:tcW w:w="0" w:type="auto"/>
            <w:shd w:val="clear" w:color="auto" w:fill="auto"/>
            <w:tcMar>
              <w:top w:w="0" w:type="dxa"/>
              <w:left w:w="480" w:type="dxa"/>
              <w:bottom w:w="0" w:type="dxa"/>
              <w:right w:w="0" w:type="dxa"/>
            </w:tcMar>
            <w:vAlign w:val="center"/>
            <w:hideMark/>
          </w:tcPr>
          <w:p w14:paraId="1B9E4CD8" w14:textId="77777777" w:rsidR="00C874BE" w:rsidRDefault="00C874BE">
            <w:pPr>
              <w:rPr>
                <w:rFonts w:ascii="Arial Narrow" w:hAnsi="Arial Narrow" w:cs="Open Sans"/>
                <w:color w:val="777777"/>
              </w:rPr>
            </w:pPr>
            <w:r>
              <w:rPr>
                <w:rFonts w:ascii="Arial Narrow" w:hAnsi="Arial Narrow" w:cs="Open Sans"/>
                <w:color w:val="777777"/>
              </w:rPr>
              <w:t xml:space="preserve">Own </w:t>
            </w:r>
          </w:p>
        </w:tc>
        <w:tc>
          <w:tcPr>
            <w:tcW w:w="0" w:type="auto"/>
            <w:shd w:val="clear" w:color="auto" w:fill="auto"/>
            <w:tcMar>
              <w:top w:w="0" w:type="dxa"/>
              <w:left w:w="0" w:type="dxa"/>
              <w:bottom w:w="0" w:type="dxa"/>
              <w:right w:w="0" w:type="dxa"/>
            </w:tcMar>
            <w:vAlign w:val="center"/>
            <w:hideMark/>
          </w:tcPr>
          <w:p w14:paraId="22F6BD62" w14:textId="77777777" w:rsidR="00C874BE" w:rsidRDefault="00C874BE">
            <w:pPr>
              <w:jc w:val="right"/>
              <w:rPr>
                <w:rFonts w:ascii="Arial Narrow" w:hAnsi="Arial Narrow" w:cs="Open Sans"/>
                <w:color w:val="777777"/>
              </w:rPr>
            </w:pPr>
            <w:r>
              <w:rPr>
                <w:rFonts w:ascii="Arial Narrow" w:hAnsi="Arial Narrow" w:cs="Open Sans"/>
                <w:color w:val="777777"/>
              </w:rPr>
              <w:t xml:space="preserve">675,017 </w:t>
            </w:r>
          </w:p>
        </w:tc>
        <w:tc>
          <w:tcPr>
            <w:tcW w:w="0" w:type="auto"/>
            <w:shd w:val="clear" w:color="auto" w:fill="auto"/>
            <w:tcMar>
              <w:top w:w="0" w:type="dxa"/>
              <w:left w:w="0" w:type="dxa"/>
              <w:bottom w:w="0" w:type="dxa"/>
              <w:right w:w="0" w:type="dxa"/>
            </w:tcMar>
            <w:vAlign w:val="center"/>
            <w:hideMark/>
          </w:tcPr>
          <w:p w14:paraId="6ECC13F1" w14:textId="77777777" w:rsidR="00C874BE" w:rsidRDefault="00C874BE">
            <w:pPr>
              <w:jc w:val="left"/>
              <w:rPr>
                <w:rFonts w:ascii="Arial Narrow" w:hAnsi="Arial Narrow" w:cs="Open Sans"/>
                <w:color w:val="777777"/>
              </w:rPr>
            </w:pPr>
            <w:r>
              <w:rPr>
                <w:rFonts w:ascii="Arial Narrow" w:hAnsi="Arial Narrow" w:cs="Open Sans"/>
                <w:color w:val="777777"/>
              </w:rPr>
              <w:t xml:space="preserve">77.4% </w:t>
            </w:r>
          </w:p>
        </w:tc>
        <w:tc>
          <w:tcPr>
            <w:tcW w:w="0" w:type="auto"/>
            <w:shd w:val="clear" w:color="auto" w:fill="auto"/>
            <w:tcMar>
              <w:top w:w="0" w:type="dxa"/>
              <w:left w:w="0" w:type="dxa"/>
              <w:bottom w:w="0" w:type="dxa"/>
              <w:right w:w="0" w:type="dxa"/>
            </w:tcMar>
            <w:vAlign w:val="center"/>
            <w:hideMark/>
          </w:tcPr>
          <w:p w14:paraId="2625FF5C" w14:textId="77777777" w:rsidR="00C874BE" w:rsidRDefault="00C874BE">
            <w:pPr>
              <w:jc w:val="right"/>
              <w:rPr>
                <w:rFonts w:ascii="Arial Narrow" w:hAnsi="Arial Narrow" w:cs="Open Sans"/>
                <w:color w:val="777777"/>
              </w:rPr>
            </w:pPr>
            <w:r>
              <w:rPr>
                <w:rFonts w:ascii="Arial Narrow" w:hAnsi="Arial Narrow" w:cs="Open Sans"/>
                <w:color w:val="777777"/>
              </w:rPr>
              <w:t xml:space="preserve">667.555 </w:t>
            </w:r>
          </w:p>
        </w:tc>
        <w:tc>
          <w:tcPr>
            <w:tcW w:w="0" w:type="auto"/>
            <w:shd w:val="clear" w:color="auto" w:fill="auto"/>
            <w:tcMar>
              <w:top w:w="0" w:type="dxa"/>
              <w:left w:w="0" w:type="dxa"/>
              <w:bottom w:w="0" w:type="dxa"/>
              <w:right w:w="0" w:type="dxa"/>
            </w:tcMar>
            <w:vAlign w:val="center"/>
            <w:hideMark/>
          </w:tcPr>
          <w:p w14:paraId="1AC23B2D" w14:textId="77777777" w:rsidR="00C874BE" w:rsidRDefault="00C874BE">
            <w:pPr>
              <w:jc w:val="right"/>
              <w:rPr>
                <w:rFonts w:ascii="Arial Narrow" w:hAnsi="Arial Narrow" w:cs="Open Sans"/>
                <w:color w:val="777777"/>
              </w:rPr>
            </w:pPr>
            <w:r>
              <w:rPr>
                <w:rFonts w:ascii="Arial Narrow" w:hAnsi="Arial Narrow" w:cs="Open Sans"/>
                <w:color w:val="777777"/>
              </w:rPr>
              <w:t xml:space="preserve">0.265 </w:t>
            </w:r>
          </w:p>
        </w:tc>
      </w:tr>
      <w:tr w:rsidR="00C874BE" w14:paraId="76FEB2EB" w14:textId="77777777">
        <w:trPr>
          <w:divId w:val="301159638"/>
        </w:trPr>
        <w:tc>
          <w:tcPr>
            <w:tcW w:w="0" w:type="auto"/>
            <w:shd w:val="clear" w:color="auto" w:fill="auto"/>
            <w:tcMar>
              <w:top w:w="0" w:type="dxa"/>
              <w:left w:w="480" w:type="dxa"/>
              <w:bottom w:w="0" w:type="dxa"/>
              <w:right w:w="0" w:type="dxa"/>
            </w:tcMar>
            <w:vAlign w:val="center"/>
            <w:hideMark/>
          </w:tcPr>
          <w:p w14:paraId="4084F6A9" w14:textId="77777777" w:rsidR="00C874BE" w:rsidRDefault="00C874BE">
            <w:pPr>
              <w:jc w:val="left"/>
              <w:rPr>
                <w:rFonts w:ascii="Arial Narrow" w:hAnsi="Arial Narrow" w:cs="Open Sans"/>
                <w:color w:val="777777"/>
              </w:rPr>
            </w:pPr>
            <w:r>
              <w:rPr>
                <w:rFonts w:ascii="Arial Narrow" w:hAnsi="Arial Narrow" w:cs="Open Sans"/>
                <w:color w:val="777777"/>
              </w:rPr>
              <w:t xml:space="preserve">Rent </w:t>
            </w:r>
          </w:p>
        </w:tc>
        <w:tc>
          <w:tcPr>
            <w:tcW w:w="0" w:type="auto"/>
            <w:shd w:val="clear" w:color="auto" w:fill="auto"/>
            <w:tcMar>
              <w:top w:w="0" w:type="dxa"/>
              <w:left w:w="0" w:type="dxa"/>
              <w:bottom w:w="0" w:type="dxa"/>
              <w:right w:w="0" w:type="dxa"/>
            </w:tcMar>
            <w:vAlign w:val="center"/>
            <w:hideMark/>
          </w:tcPr>
          <w:p w14:paraId="47F794E6" w14:textId="77777777" w:rsidR="00C874BE" w:rsidRDefault="00C874BE">
            <w:pPr>
              <w:jc w:val="right"/>
              <w:rPr>
                <w:rFonts w:ascii="Arial Narrow" w:hAnsi="Arial Narrow" w:cs="Open Sans"/>
                <w:color w:val="777777"/>
              </w:rPr>
            </w:pPr>
            <w:r>
              <w:rPr>
                <w:rFonts w:ascii="Arial Narrow" w:hAnsi="Arial Narrow" w:cs="Open Sans"/>
                <w:color w:val="777777"/>
              </w:rPr>
              <w:t xml:space="preserve">197,137 </w:t>
            </w:r>
          </w:p>
        </w:tc>
        <w:tc>
          <w:tcPr>
            <w:tcW w:w="0" w:type="auto"/>
            <w:shd w:val="clear" w:color="auto" w:fill="auto"/>
            <w:tcMar>
              <w:top w:w="0" w:type="dxa"/>
              <w:left w:w="0" w:type="dxa"/>
              <w:bottom w:w="0" w:type="dxa"/>
              <w:right w:w="0" w:type="dxa"/>
            </w:tcMar>
            <w:vAlign w:val="center"/>
            <w:hideMark/>
          </w:tcPr>
          <w:p w14:paraId="00181DCA" w14:textId="77777777" w:rsidR="00C874BE" w:rsidRDefault="00C874BE">
            <w:pPr>
              <w:jc w:val="left"/>
              <w:rPr>
                <w:rFonts w:ascii="Arial Narrow" w:hAnsi="Arial Narrow" w:cs="Open Sans"/>
                <w:color w:val="777777"/>
              </w:rPr>
            </w:pPr>
            <w:r>
              <w:rPr>
                <w:rFonts w:ascii="Arial Narrow" w:hAnsi="Arial Narrow" w:cs="Open Sans"/>
                <w:color w:val="777777"/>
              </w:rPr>
              <w:t xml:space="preserve">22.6% </w:t>
            </w:r>
          </w:p>
        </w:tc>
        <w:tc>
          <w:tcPr>
            <w:tcW w:w="0" w:type="auto"/>
            <w:shd w:val="clear" w:color="auto" w:fill="auto"/>
            <w:tcMar>
              <w:top w:w="0" w:type="dxa"/>
              <w:left w:w="0" w:type="dxa"/>
              <w:bottom w:w="0" w:type="dxa"/>
              <w:right w:w="0" w:type="dxa"/>
            </w:tcMar>
            <w:vAlign w:val="center"/>
            <w:hideMark/>
          </w:tcPr>
          <w:p w14:paraId="383B86E1" w14:textId="77777777" w:rsidR="00C874BE" w:rsidRDefault="00C874BE">
            <w:pPr>
              <w:jc w:val="right"/>
              <w:rPr>
                <w:rFonts w:ascii="Arial Narrow" w:hAnsi="Arial Narrow" w:cs="Open Sans"/>
                <w:color w:val="777777"/>
              </w:rPr>
            </w:pPr>
            <w:r>
              <w:rPr>
                <w:rFonts w:ascii="Arial Narrow" w:hAnsi="Arial Narrow" w:cs="Open Sans"/>
                <w:color w:val="777777"/>
              </w:rPr>
              <w:t xml:space="preserve">525.558 </w:t>
            </w:r>
          </w:p>
        </w:tc>
        <w:tc>
          <w:tcPr>
            <w:tcW w:w="0" w:type="auto"/>
            <w:shd w:val="clear" w:color="auto" w:fill="auto"/>
            <w:tcMar>
              <w:top w:w="0" w:type="dxa"/>
              <w:left w:w="0" w:type="dxa"/>
              <w:bottom w:w="0" w:type="dxa"/>
              <w:right w:w="0" w:type="dxa"/>
            </w:tcMar>
            <w:vAlign w:val="center"/>
            <w:hideMark/>
          </w:tcPr>
          <w:p w14:paraId="5EB23DEE" w14:textId="77777777" w:rsidR="00C874BE" w:rsidRDefault="00C874BE">
            <w:pPr>
              <w:jc w:val="right"/>
              <w:rPr>
                <w:rFonts w:ascii="Arial Narrow" w:hAnsi="Arial Narrow" w:cs="Open Sans"/>
                <w:color w:val="777777"/>
              </w:rPr>
            </w:pPr>
            <w:r>
              <w:rPr>
                <w:rFonts w:ascii="Arial Narrow" w:hAnsi="Arial Narrow" w:cs="Open Sans"/>
                <w:color w:val="777777"/>
              </w:rPr>
              <w:t xml:space="preserve">0.638 </w:t>
            </w:r>
          </w:p>
        </w:tc>
      </w:tr>
      <w:tr w:rsidR="00C874BE" w14:paraId="65D07D34"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2422CAF2" w14:textId="77777777" w:rsidR="00C874BE" w:rsidRDefault="00C874BE">
            <w:pPr>
              <w:jc w:val="left"/>
              <w:rPr>
                <w:rFonts w:ascii="Arial Narrow" w:hAnsi="Arial Narrow" w:cs="Open Sans"/>
                <w:color w:val="777777"/>
              </w:rPr>
            </w:pPr>
            <w:r>
              <w:rPr>
                <w:rStyle w:val="Strong"/>
                <w:rFonts w:ascii="Arial Narrow" w:hAnsi="Arial Narrow" w:cs="Open Sans"/>
                <w:color w:val="777777"/>
              </w:rPr>
              <w:t>Income</w:t>
            </w:r>
          </w:p>
        </w:tc>
      </w:tr>
      <w:tr w:rsidR="00C874BE" w14:paraId="577FCCD7" w14:textId="77777777">
        <w:trPr>
          <w:divId w:val="301159638"/>
        </w:trPr>
        <w:tc>
          <w:tcPr>
            <w:tcW w:w="0" w:type="auto"/>
            <w:shd w:val="clear" w:color="auto" w:fill="auto"/>
            <w:tcMar>
              <w:top w:w="0" w:type="dxa"/>
              <w:left w:w="480" w:type="dxa"/>
              <w:bottom w:w="0" w:type="dxa"/>
              <w:right w:w="0" w:type="dxa"/>
            </w:tcMar>
            <w:vAlign w:val="center"/>
            <w:hideMark/>
          </w:tcPr>
          <w:p w14:paraId="0A602530" w14:textId="77777777" w:rsidR="00C874BE" w:rsidRDefault="00C874BE">
            <w:pPr>
              <w:rPr>
                <w:rFonts w:ascii="Arial Narrow" w:hAnsi="Arial Narrow" w:cs="Open Sans"/>
                <w:color w:val="777777"/>
              </w:rPr>
            </w:pPr>
            <w:r>
              <w:rPr>
                <w:rFonts w:ascii="Arial Narrow" w:hAnsi="Arial Narrow" w:cs="Open Sans"/>
                <w:color w:val="777777"/>
              </w:rPr>
              <w:t xml:space="preserve">Low </w:t>
            </w:r>
          </w:p>
        </w:tc>
        <w:tc>
          <w:tcPr>
            <w:tcW w:w="0" w:type="auto"/>
            <w:shd w:val="clear" w:color="auto" w:fill="auto"/>
            <w:tcMar>
              <w:top w:w="0" w:type="dxa"/>
              <w:left w:w="0" w:type="dxa"/>
              <w:bottom w:w="0" w:type="dxa"/>
              <w:right w:w="0" w:type="dxa"/>
            </w:tcMar>
            <w:vAlign w:val="center"/>
            <w:hideMark/>
          </w:tcPr>
          <w:p w14:paraId="257F4821" w14:textId="77777777" w:rsidR="00C874BE" w:rsidRDefault="00C874BE">
            <w:pPr>
              <w:jc w:val="right"/>
              <w:rPr>
                <w:rFonts w:ascii="Arial Narrow" w:hAnsi="Arial Narrow" w:cs="Open Sans"/>
                <w:color w:val="777777"/>
              </w:rPr>
            </w:pPr>
            <w:r>
              <w:rPr>
                <w:rFonts w:ascii="Arial Narrow" w:hAnsi="Arial Narrow" w:cs="Open Sans"/>
                <w:color w:val="777777"/>
              </w:rPr>
              <w:t xml:space="preserve">270,417 </w:t>
            </w:r>
          </w:p>
        </w:tc>
        <w:tc>
          <w:tcPr>
            <w:tcW w:w="0" w:type="auto"/>
            <w:shd w:val="clear" w:color="auto" w:fill="auto"/>
            <w:tcMar>
              <w:top w:w="0" w:type="dxa"/>
              <w:left w:w="0" w:type="dxa"/>
              <w:bottom w:w="0" w:type="dxa"/>
              <w:right w:w="0" w:type="dxa"/>
            </w:tcMar>
            <w:vAlign w:val="center"/>
            <w:hideMark/>
          </w:tcPr>
          <w:p w14:paraId="1EFEDB7A" w14:textId="77777777" w:rsidR="00C874BE" w:rsidRDefault="00C874BE">
            <w:pPr>
              <w:jc w:val="left"/>
              <w:rPr>
                <w:rFonts w:ascii="Arial Narrow" w:hAnsi="Arial Narrow" w:cs="Open Sans"/>
                <w:color w:val="777777"/>
              </w:rPr>
            </w:pPr>
            <w:r>
              <w:rPr>
                <w:rFonts w:ascii="Arial Narrow" w:hAnsi="Arial Narrow" w:cs="Open Sans"/>
                <w:color w:val="777777"/>
              </w:rPr>
              <w:t xml:space="preserve">31% </w:t>
            </w:r>
          </w:p>
        </w:tc>
        <w:tc>
          <w:tcPr>
            <w:tcW w:w="0" w:type="auto"/>
            <w:shd w:val="clear" w:color="auto" w:fill="auto"/>
            <w:tcMar>
              <w:top w:w="0" w:type="dxa"/>
              <w:left w:w="0" w:type="dxa"/>
              <w:bottom w:w="0" w:type="dxa"/>
              <w:right w:w="0" w:type="dxa"/>
            </w:tcMar>
            <w:vAlign w:val="center"/>
            <w:hideMark/>
          </w:tcPr>
          <w:p w14:paraId="3236A7B8" w14:textId="77777777" w:rsidR="00C874BE" w:rsidRDefault="00C874BE">
            <w:pPr>
              <w:jc w:val="right"/>
              <w:rPr>
                <w:rFonts w:ascii="Arial Narrow" w:hAnsi="Arial Narrow" w:cs="Open Sans"/>
                <w:color w:val="777777"/>
              </w:rPr>
            </w:pPr>
            <w:r>
              <w:rPr>
                <w:rFonts w:ascii="Arial Narrow" w:hAnsi="Arial Narrow" w:cs="Open Sans"/>
                <w:color w:val="777777"/>
              </w:rPr>
              <w:t xml:space="preserve">712.349 </w:t>
            </w:r>
          </w:p>
        </w:tc>
        <w:tc>
          <w:tcPr>
            <w:tcW w:w="0" w:type="auto"/>
            <w:shd w:val="clear" w:color="auto" w:fill="auto"/>
            <w:tcMar>
              <w:top w:w="0" w:type="dxa"/>
              <w:left w:w="0" w:type="dxa"/>
              <w:bottom w:w="0" w:type="dxa"/>
              <w:right w:w="0" w:type="dxa"/>
            </w:tcMar>
            <w:vAlign w:val="center"/>
            <w:hideMark/>
          </w:tcPr>
          <w:p w14:paraId="75CD13DC" w14:textId="77777777" w:rsidR="00C874BE" w:rsidRDefault="00C874BE">
            <w:pPr>
              <w:jc w:val="right"/>
              <w:rPr>
                <w:rFonts w:ascii="Arial Narrow" w:hAnsi="Arial Narrow" w:cs="Open Sans"/>
                <w:color w:val="777777"/>
              </w:rPr>
            </w:pPr>
            <w:r>
              <w:rPr>
                <w:rFonts w:ascii="Arial Narrow" w:hAnsi="Arial Narrow" w:cs="Open Sans"/>
                <w:color w:val="777777"/>
              </w:rPr>
              <w:t xml:space="preserve">0.170 </w:t>
            </w:r>
          </w:p>
        </w:tc>
      </w:tr>
      <w:tr w:rsidR="00C874BE" w14:paraId="6F1F597A" w14:textId="77777777">
        <w:trPr>
          <w:divId w:val="301159638"/>
        </w:trPr>
        <w:tc>
          <w:tcPr>
            <w:tcW w:w="0" w:type="auto"/>
            <w:shd w:val="clear" w:color="auto" w:fill="auto"/>
            <w:tcMar>
              <w:top w:w="0" w:type="dxa"/>
              <w:left w:w="480" w:type="dxa"/>
              <w:bottom w:w="0" w:type="dxa"/>
              <w:right w:w="0" w:type="dxa"/>
            </w:tcMar>
            <w:vAlign w:val="center"/>
            <w:hideMark/>
          </w:tcPr>
          <w:p w14:paraId="5CE23FED" w14:textId="77777777" w:rsidR="00C874BE" w:rsidRDefault="00C874BE">
            <w:pPr>
              <w:jc w:val="left"/>
              <w:rPr>
                <w:rFonts w:ascii="Arial Narrow" w:hAnsi="Arial Narrow" w:cs="Open Sans"/>
                <w:color w:val="777777"/>
              </w:rPr>
            </w:pPr>
            <w:r>
              <w:rPr>
                <w:rFonts w:ascii="Arial Narrow" w:hAnsi="Arial Narrow" w:cs="Open Sans"/>
                <w:color w:val="777777"/>
              </w:rPr>
              <w:t xml:space="preserve">Medium </w:t>
            </w:r>
          </w:p>
        </w:tc>
        <w:tc>
          <w:tcPr>
            <w:tcW w:w="0" w:type="auto"/>
            <w:shd w:val="clear" w:color="auto" w:fill="auto"/>
            <w:tcMar>
              <w:top w:w="0" w:type="dxa"/>
              <w:left w:w="0" w:type="dxa"/>
              <w:bottom w:w="0" w:type="dxa"/>
              <w:right w:w="0" w:type="dxa"/>
            </w:tcMar>
            <w:vAlign w:val="center"/>
            <w:hideMark/>
          </w:tcPr>
          <w:p w14:paraId="6EBB4F8C" w14:textId="77777777" w:rsidR="00C874BE" w:rsidRDefault="00C874BE">
            <w:pPr>
              <w:jc w:val="right"/>
              <w:rPr>
                <w:rFonts w:ascii="Arial Narrow" w:hAnsi="Arial Narrow" w:cs="Open Sans"/>
                <w:color w:val="777777"/>
              </w:rPr>
            </w:pPr>
            <w:r>
              <w:rPr>
                <w:rFonts w:ascii="Arial Narrow" w:hAnsi="Arial Narrow" w:cs="Open Sans"/>
                <w:color w:val="777777"/>
              </w:rPr>
              <w:t xml:space="preserve">285,222 </w:t>
            </w:r>
          </w:p>
        </w:tc>
        <w:tc>
          <w:tcPr>
            <w:tcW w:w="0" w:type="auto"/>
            <w:shd w:val="clear" w:color="auto" w:fill="auto"/>
            <w:tcMar>
              <w:top w:w="0" w:type="dxa"/>
              <w:left w:w="0" w:type="dxa"/>
              <w:bottom w:w="0" w:type="dxa"/>
              <w:right w:w="0" w:type="dxa"/>
            </w:tcMar>
            <w:vAlign w:val="center"/>
            <w:hideMark/>
          </w:tcPr>
          <w:p w14:paraId="22E78FA5" w14:textId="77777777" w:rsidR="00C874BE" w:rsidRDefault="00C874BE">
            <w:pPr>
              <w:jc w:val="left"/>
              <w:rPr>
                <w:rFonts w:ascii="Arial Narrow" w:hAnsi="Arial Narrow" w:cs="Open Sans"/>
                <w:color w:val="777777"/>
              </w:rPr>
            </w:pPr>
            <w:r>
              <w:rPr>
                <w:rFonts w:ascii="Arial Narrow" w:hAnsi="Arial Narrow" w:cs="Open Sans"/>
                <w:color w:val="777777"/>
              </w:rPr>
              <w:t xml:space="preserve">32.7% </w:t>
            </w:r>
          </w:p>
        </w:tc>
        <w:tc>
          <w:tcPr>
            <w:tcW w:w="0" w:type="auto"/>
            <w:shd w:val="clear" w:color="auto" w:fill="auto"/>
            <w:tcMar>
              <w:top w:w="0" w:type="dxa"/>
              <w:left w:w="0" w:type="dxa"/>
              <w:bottom w:w="0" w:type="dxa"/>
              <w:right w:w="0" w:type="dxa"/>
            </w:tcMar>
            <w:vAlign w:val="center"/>
            <w:hideMark/>
          </w:tcPr>
          <w:p w14:paraId="287E6211" w14:textId="77777777" w:rsidR="00C874BE" w:rsidRDefault="00C874BE">
            <w:pPr>
              <w:jc w:val="right"/>
              <w:rPr>
                <w:rFonts w:ascii="Arial Narrow" w:hAnsi="Arial Narrow" w:cs="Open Sans"/>
                <w:color w:val="777777"/>
              </w:rPr>
            </w:pPr>
            <w:r>
              <w:rPr>
                <w:rFonts w:ascii="Arial Narrow" w:hAnsi="Arial Narrow" w:cs="Open Sans"/>
                <w:color w:val="777777"/>
              </w:rPr>
              <w:t xml:space="preserve">550.488 </w:t>
            </w:r>
          </w:p>
        </w:tc>
        <w:tc>
          <w:tcPr>
            <w:tcW w:w="0" w:type="auto"/>
            <w:shd w:val="clear" w:color="auto" w:fill="auto"/>
            <w:tcMar>
              <w:top w:w="0" w:type="dxa"/>
              <w:left w:w="0" w:type="dxa"/>
              <w:bottom w:w="0" w:type="dxa"/>
              <w:right w:w="0" w:type="dxa"/>
            </w:tcMar>
            <w:vAlign w:val="center"/>
            <w:hideMark/>
          </w:tcPr>
          <w:p w14:paraId="1384F7B3" w14:textId="77777777" w:rsidR="00C874BE" w:rsidRDefault="00C874BE">
            <w:pPr>
              <w:jc w:val="right"/>
              <w:rPr>
                <w:rFonts w:ascii="Arial Narrow" w:hAnsi="Arial Narrow" w:cs="Open Sans"/>
                <w:color w:val="777777"/>
              </w:rPr>
            </w:pPr>
            <w:r>
              <w:rPr>
                <w:rFonts w:ascii="Arial Narrow" w:hAnsi="Arial Narrow" w:cs="Open Sans"/>
                <w:color w:val="777777"/>
              </w:rPr>
              <w:t xml:space="preserve">0.546 </w:t>
            </w:r>
          </w:p>
        </w:tc>
      </w:tr>
      <w:tr w:rsidR="00C874BE" w14:paraId="190E6F46" w14:textId="77777777">
        <w:trPr>
          <w:divId w:val="301159638"/>
        </w:trPr>
        <w:tc>
          <w:tcPr>
            <w:tcW w:w="0" w:type="auto"/>
            <w:shd w:val="clear" w:color="auto" w:fill="auto"/>
            <w:tcMar>
              <w:top w:w="0" w:type="dxa"/>
              <w:left w:w="480" w:type="dxa"/>
              <w:bottom w:w="0" w:type="dxa"/>
              <w:right w:w="0" w:type="dxa"/>
            </w:tcMar>
            <w:vAlign w:val="center"/>
            <w:hideMark/>
          </w:tcPr>
          <w:p w14:paraId="20B89A27" w14:textId="77777777" w:rsidR="00C874BE" w:rsidRDefault="00C874BE">
            <w:pPr>
              <w:jc w:val="left"/>
              <w:rPr>
                <w:rFonts w:ascii="Arial Narrow" w:hAnsi="Arial Narrow" w:cs="Open Sans"/>
                <w:color w:val="777777"/>
              </w:rPr>
            </w:pPr>
            <w:r>
              <w:rPr>
                <w:rFonts w:ascii="Arial Narrow" w:hAnsi="Arial Narrow" w:cs="Open Sans"/>
                <w:color w:val="777777"/>
              </w:rPr>
              <w:t xml:space="preserve">High </w:t>
            </w:r>
          </w:p>
        </w:tc>
        <w:tc>
          <w:tcPr>
            <w:tcW w:w="0" w:type="auto"/>
            <w:shd w:val="clear" w:color="auto" w:fill="auto"/>
            <w:tcMar>
              <w:top w:w="0" w:type="dxa"/>
              <w:left w:w="0" w:type="dxa"/>
              <w:bottom w:w="0" w:type="dxa"/>
              <w:right w:w="0" w:type="dxa"/>
            </w:tcMar>
            <w:vAlign w:val="center"/>
            <w:hideMark/>
          </w:tcPr>
          <w:p w14:paraId="64FE952B" w14:textId="77777777" w:rsidR="00C874BE" w:rsidRDefault="00C874BE">
            <w:pPr>
              <w:jc w:val="right"/>
              <w:rPr>
                <w:rFonts w:ascii="Arial Narrow" w:hAnsi="Arial Narrow" w:cs="Open Sans"/>
                <w:color w:val="777777"/>
              </w:rPr>
            </w:pPr>
            <w:r>
              <w:rPr>
                <w:rFonts w:ascii="Arial Narrow" w:hAnsi="Arial Narrow" w:cs="Open Sans"/>
                <w:color w:val="777777"/>
              </w:rPr>
              <w:t xml:space="preserve">316,515 </w:t>
            </w:r>
          </w:p>
        </w:tc>
        <w:tc>
          <w:tcPr>
            <w:tcW w:w="0" w:type="auto"/>
            <w:shd w:val="clear" w:color="auto" w:fill="auto"/>
            <w:tcMar>
              <w:top w:w="0" w:type="dxa"/>
              <w:left w:w="0" w:type="dxa"/>
              <w:bottom w:w="0" w:type="dxa"/>
              <w:right w:w="0" w:type="dxa"/>
            </w:tcMar>
            <w:vAlign w:val="center"/>
            <w:hideMark/>
          </w:tcPr>
          <w:p w14:paraId="15AD8C02" w14:textId="77777777" w:rsidR="00C874BE" w:rsidRDefault="00C874BE">
            <w:pPr>
              <w:jc w:val="left"/>
              <w:rPr>
                <w:rFonts w:ascii="Arial Narrow" w:hAnsi="Arial Narrow" w:cs="Open Sans"/>
                <w:color w:val="777777"/>
              </w:rPr>
            </w:pPr>
            <w:r>
              <w:rPr>
                <w:rFonts w:ascii="Arial Narrow" w:hAnsi="Arial Narrow" w:cs="Open Sans"/>
                <w:color w:val="777777"/>
              </w:rPr>
              <w:t xml:space="preserve">36.3% </w:t>
            </w:r>
          </w:p>
        </w:tc>
        <w:tc>
          <w:tcPr>
            <w:tcW w:w="0" w:type="auto"/>
            <w:shd w:val="clear" w:color="auto" w:fill="auto"/>
            <w:tcMar>
              <w:top w:w="0" w:type="dxa"/>
              <w:left w:w="0" w:type="dxa"/>
              <w:bottom w:w="0" w:type="dxa"/>
              <w:right w:w="0" w:type="dxa"/>
            </w:tcMar>
            <w:vAlign w:val="center"/>
            <w:hideMark/>
          </w:tcPr>
          <w:p w14:paraId="3DE0E618" w14:textId="77777777" w:rsidR="00C874BE" w:rsidRDefault="00C874BE">
            <w:pPr>
              <w:jc w:val="right"/>
              <w:rPr>
                <w:rFonts w:ascii="Arial Narrow" w:hAnsi="Arial Narrow" w:cs="Open Sans"/>
                <w:color w:val="777777"/>
              </w:rPr>
            </w:pPr>
            <w:r>
              <w:rPr>
                <w:rFonts w:ascii="Arial Narrow" w:hAnsi="Arial Narrow" w:cs="Open Sans"/>
                <w:color w:val="777777"/>
              </w:rPr>
              <w:t xml:space="preserve">646.337 </w:t>
            </w:r>
          </w:p>
        </w:tc>
        <w:tc>
          <w:tcPr>
            <w:tcW w:w="0" w:type="auto"/>
            <w:shd w:val="clear" w:color="auto" w:fill="auto"/>
            <w:tcMar>
              <w:top w:w="0" w:type="dxa"/>
              <w:left w:w="0" w:type="dxa"/>
              <w:bottom w:w="0" w:type="dxa"/>
              <w:right w:w="0" w:type="dxa"/>
            </w:tcMar>
            <w:vAlign w:val="center"/>
            <w:hideMark/>
          </w:tcPr>
          <w:p w14:paraId="77E7F77D" w14:textId="77777777" w:rsidR="00C874BE" w:rsidRDefault="00C874BE">
            <w:pPr>
              <w:jc w:val="right"/>
              <w:rPr>
                <w:rFonts w:ascii="Arial Narrow" w:hAnsi="Arial Narrow" w:cs="Open Sans"/>
                <w:color w:val="777777"/>
              </w:rPr>
            </w:pPr>
            <w:r>
              <w:rPr>
                <w:rFonts w:ascii="Arial Narrow" w:hAnsi="Arial Narrow" w:cs="Open Sans"/>
                <w:color w:val="777777"/>
              </w:rPr>
              <w:t xml:space="preserve">0.326 </w:t>
            </w:r>
          </w:p>
        </w:tc>
      </w:tr>
      <w:tr w:rsidR="00C874BE" w14:paraId="08F2EDBC" w14:textId="77777777">
        <w:trPr>
          <w:divId w:val="301159638"/>
        </w:trPr>
        <w:tc>
          <w:tcPr>
            <w:tcW w:w="0" w:type="auto"/>
            <w:gridSpan w:val="5"/>
            <w:tcBorders>
              <w:bottom w:val="single" w:sz="6" w:space="0" w:color="auto"/>
            </w:tcBorders>
            <w:shd w:val="clear" w:color="auto" w:fill="auto"/>
            <w:tcMar>
              <w:top w:w="0" w:type="dxa"/>
              <w:left w:w="0" w:type="dxa"/>
              <w:bottom w:w="0" w:type="dxa"/>
              <w:right w:w="0" w:type="dxa"/>
            </w:tcMar>
            <w:vAlign w:val="center"/>
            <w:hideMark/>
          </w:tcPr>
          <w:p w14:paraId="59CF8374" w14:textId="77777777" w:rsidR="00C874BE" w:rsidRDefault="00C874BE">
            <w:pPr>
              <w:jc w:val="left"/>
              <w:rPr>
                <w:rFonts w:ascii="Arial Narrow" w:hAnsi="Arial Narrow" w:cs="Open Sans"/>
                <w:color w:val="777777"/>
              </w:rPr>
            </w:pPr>
            <w:r>
              <w:rPr>
                <w:rStyle w:val="Strong"/>
                <w:rFonts w:ascii="Arial Narrow" w:hAnsi="Arial Narrow" w:cs="Open Sans"/>
                <w:color w:val="777777"/>
              </w:rPr>
              <w:t>Education</w:t>
            </w:r>
          </w:p>
        </w:tc>
      </w:tr>
      <w:tr w:rsidR="00C874BE" w14:paraId="1B4C89E7" w14:textId="77777777">
        <w:trPr>
          <w:divId w:val="301159638"/>
        </w:trPr>
        <w:tc>
          <w:tcPr>
            <w:tcW w:w="0" w:type="auto"/>
            <w:shd w:val="clear" w:color="auto" w:fill="auto"/>
            <w:tcMar>
              <w:top w:w="0" w:type="dxa"/>
              <w:left w:w="480" w:type="dxa"/>
              <w:bottom w:w="0" w:type="dxa"/>
              <w:right w:w="0" w:type="dxa"/>
            </w:tcMar>
            <w:vAlign w:val="center"/>
            <w:hideMark/>
          </w:tcPr>
          <w:p w14:paraId="6A96EAAF" w14:textId="77777777" w:rsidR="00C874BE" w:rsidRDefault="00C874BE">
            <w:pPr>
              <w:rPr>
                <w:rFonts w:ascii="Arial Narrow" w:hAnsi="Arial Narrow" w:cs="Open Sans"/>
                <w:color w:val="777777"/>
              </w:rPr>
            </w:pPr>
            <w:r>
              <w:rPr>
                <w:rFonts w:ascii="Arial Narrow" w:hAnsi="Arial Narrow" w:cs="Open Sans"/>
                <w:color w:val="777777"/>
              </w:rPr>
              <w:t xml:space="preserve">College </w:t>
            </w:r>
          </w:p>
        </w:tc>
        <w:tc>
          <w:tcPr>
            <w:tcW w:w="0" w:type="auto"/>
            <w:shd w:val="clear" w:color="auto" w:fill="auto"/>
            <w:tcMar>
              <w:top w:w="0" w:type="dxa"/>
              <w:left w:w="0" w:type="dxa"/>
              <w:bottom w:w="0" w:type="dxa"/>
              <w:right w:w="0" w:type="dxa"/>
            </w:tcMar>
            <w:vAlign w:val="center"/>
            <w:hideMark/>
          </w:tcPr>
          <w:p w14:paraId="3AB62DEA" w14:textId="77777777" w:rsidR="00C874BE" w:rsidRDefault="00C874BE">
            <w:pPr>
              <w:jc w:val="right"/>
              <w:rPr>
                <w:rFonts w:ascii="Arial Narrow" w:hAnsi="Arial Narrow" w:cs="Open Sans"/>
                <w:color w:val="777777"/>
              </w:rPr>
            </w:pPr>
            <w:r>
              <w:rPr>
                <w:rFonts w:ascii="Arial Narrow" w:hAnsi="Arial Narrow" w:cs="Open Sans"/>
                <w:color w:val="777777"/>
              </w:rPr>
              <w:t xml:space="preserve">182,783 </w:t>
            </w:r>
          </w:p>
        </w:tc>
        <w:tc>
          <w:tcPr>
            <w:tcW w:w="0" w:type="auto"/>
            <w:shd w:val="clear" w:color="auto" w:fill="auto"/>
            <w:tcMar>
              <w:top w:w="0" w:type="dxa"/>
              <w:left w:w="0" w:type="dxa"/>
              <w:bottom w:w="0" w:type="dxa"/>
              <w:right w:w="0" w:type="dxa"/>
            </w:tcMar>
            <w:vAlign w:val="center"/>
            <w:hideMark/>
          </w:tcPr>
          <w:p w14:paraId="7A0C4AE3" w14:textId="77777777" w:rsidR="00C874BE" w:rsidRDefault="00C874BE">
            <w:pPr>
              <w:jc w:val="left"/>
              <w:rPr>
                <w:rFonts w:ascii="Arial Narrow" w:hAnsi="Arial Narrow" w:cs="Open Sans"/>
                <w:color w:val="777777"/>
              </w:rPr>
            </w:pPr>
            <w:r>
              <w:rPr>
                <w:rFonts w:ascii="Arial Narrow" w:hAnsi="Arial Narrow" w:cs="Open Sans"/>
                <w:color w:val="777777"/>
              </w:rPr>
              <w:t xml:space="preserve">21% </w:t>
            </w:r>
          </w:p>
        </w:tc>
        <w:tc>
          <w:tcPr>
            <w:tcW w:w="0" w:type="auto"/>
            <w:shd w:val="clear" w:color="auto" w:fill="auto"/>
            <w:tcMar>
              <w:top w:w="0" w:type="dxa"/>
              <w:left w:w="0" w:type="dxa"/>
              <w:bottom w:w="0" w:type="dxa"/>
              <w:right w:w="0" w:type="dxa"/>
            </w:tcMar>
            <w:vAlign w:val="center"/>
            <w:hideMark/>
          </w:tcPr>
          <w:p w14:paraId="44A1E159" w14:textId="77777777" w:rsidR="00C874BE" w:rsidRDefault="00C874BE">
            <w:pPr>
              <w:jc w:val="right"/>
              <w:rPr>
                <w:rFonts w:ascii="Arial Narrow" w:hAnsi="Arial Narrow" w:cs="Open Sans"/>
                <w:color w:val="777777"/>
              </w:rPr>
            </w:pPr>
            <w:r>
              <w:rPr>
                <w:rFonts w:ascii="Arial Narrow" w:hAnsi="Arial Narrow" w:cs="Open Sans"/>
                <w:color w:val="777777"/>
              </w:rPr>
              <w:t xml:space="preserve">681.666 </w:t>
            </w:r>
          </w:p>
        </w:tc>
        <w:tc>
          <w:tcPr>
            <w:tcW w:w="0" w:type="auto"/>
            <w:shd w:val="clear" w:color="auto" w:fill="auto"/>
            <w:tcMar>
              <w:top w:w="0" w:type="dxa"/>
              <w:left w:w="0" w:type="dxa"/>
              <w:bottom w:w="0" w:type="dxa"/>
              <w:right w:w="0" w:type="dxa"/>
            </w:tcMar>
            <w:vAlign w:val="center"/>
            <w:hideMark/>
          </w:tcPr>
          <w:p w14:paraId="114EE8FA" w14:textId="77777777" w:rsidR="00C874BE" w:rsidRDefault="00C874BE">
            <w:pPr>
              <w:jc w:val="right"/>
              <w:rPr>
                <w:rFonts w:ascii="Arial Narrow" w:hAnsi="Arial Narrow" w:cs="Open Sans"/>
                <w:color w:val="777777"/>
              </w:rPr>
            </w:pPr>
            <w:r>
              <w:rPr>
                <w:rFonts w:ascii="Arial Narrow" w:hAnsi="Arial Narrow" w:cs="Open Sans"/>
                <w:color w:val="777777"/>
              </w:rPr>
              <w:t xml:space="preserve">0.226 </w:t>
            </w:r>
          </w:p>
        </w:tc>
      </w:tr>
      <w:tr w:rsidR="00C874BE" w14:paraId="572C6252" w14:textId="77777777">
        <w:trPr>
          <w:divId w:val="301159638"/>
        </w:trPr>
        <w:tc>
          <w:tcPr>
            <w:tcW w:w="0" w:type="auto"/>
            <w:shd w:val="clear" w:color="auto" w:fill="auto"/>
            <w:tcMar>
              <w:top w:w="0" w:type="dxa"/>
              <w:left w:w="480" w:type="dxa"/>
              <w:bottom w:w="0" w:type="dxa"/>
              <w:right w:w="0" w:type="dxa"/>
            </w:tcMar>
            <w:vAlign w:val="center"/>
            <w:hideMark/>
          </w:tcPr>
          <w:p w14:paraId="6253168B" w14:textId="77777777" w:rsidR="00C874BE" w:rsidRDefault="00C874BE">
            <w:pPr>
              <w:jc w:val="left"/>
              <w:rPr>
                <w:rFonts w:ascii="Arial Narrow" w:hAnsi="Arial Narrow" w:cs="Open Sans"/>
                <w:color w:val="777777"/>
              </w:rPr>
            </w:pPr>
            <w:r>
              <w:rPr>
                <w:rFonts w:ascii="Arial Narrow" w:hAnsi="Arial Narrow" w:cs="Open Sans"/>
                <w:color w:val="777777"/>
              </w:rPr>
              <w:t xml:space="preserve">Graduate School </w:t>
            </w:r>
          </w:p>
        </w:tc>
        <w:tc>
          <w:tcPr>
            <w:tcW w:w="0" w:type="auto"/>
            <w:shd w:val="clear" w:color="auto" w:fill="auto"/>
            <w:tcMar>
              <w:top w:w="0" w:type="dxa"/>
              <w:left w:w="0" w:type="dxa"/>
              <w:bottom w:w="0" w:type="dxa"/>
              <w:right w:w="0" w:type="dxa"/>
            </w:tcMar>
            <w:vAlign w:val="center"/>
            <w:hideMark/>
          </w:tcPr>
          <w:p w14:paraId="2894B21B" w14:textId="77777777" w:rsidR="00C874BE" w:rsidRDefault="00C874BE">
            <w:pPr>
              <w:jc w:val="right"/>
              <w:rPr>
                <w:rFonts w:ascii="Arial Narrow" w:hAnsi="Arial Narrow" w:cs="Open Sans"/>
                <w:color w:val="777777"/>
              </w:rPr>
            </w:pPr>
            <w:r>
              <w:rPr>
                <w:rFonts w:ascii="Arial Narrow" w:hAnsi="Arial Narrow" w:cs="Open Sans"/>
                <w:color w:val="777777"/>
              </w:rPr>
              <w:t xml:space="preserve">97,746 </w:t>
            </w:r>
          </w:p>
        </w:tc>
        <w:tc>
          <w:tcPr>
            <w:tcW w:w="0" w:type="auto"/>
            <w:shd w:val="clear" w:color="auto" w:fill="auto"/>
            <w:tcMar>
              <w:top w:w="0" w:type="dxa"/>
              <w:left w:w="0" w:type="dxa"/>
              <w:bottom w:w="0" w:type="dxa"/>
              <w:right w:w="0" w:type="dxa"/>
            </w:tcMar>
            <w:vAlign w:val="center"/>
            <w:hideMark/>
          </w:tcPr>
          <w:p w14:paraId="6B8186F4" w14:textId="77777777" w:rsidR="00C874BE" w:rsidRDefault="00C874BE">
            <w:pPr>
              <w:jc w:val="left"/>
              <w:rPr>
                <w:rFonts w:ascii="Arial Narrow" w:hAnsi="Arial Narrow" w:cs="Open Sans"/>
                <w:color w:val="777777"/>
              </w:rPr>
            </w:pPr>
            <w:r>
              <w:rPr>
                <w:rFonts w:ascii="Arial Narrow" w:hAnsi="Arial Narrow" w:cs="Open Sans"/>
                <w:color w:val="777777"/>
              </w:rPr>
              <w:t xml:space="preserve">11.2% </w:t>
            </w:r>
          </w:p>
        </w:tc>
        <w:tc>
          <w:tcPr>
            <w:tcW w:w="0" w:type="auto"/>
            <w:shd w:val="clear" w:color="auto" w:fill="auto"/>
            <w:tcMar>
              <w:top w:w="0" w:type="dxa"/>
              <w:left w:w="0" w:type="dxa"/>
              <w:bottom w:w="0" w:type="dxa"/>
              <w:right w:w="0" w:type="dxa"/>
            </w:tcMar>
            <w:vAlign w:val="center"/>
            <w:hideMark/>
          </w:tcPr>
          <w:p w14:paraId="632333FA" w14:textId="77777777" w:rsidR="00C874BE" w:rsidRDefault="00C874BE">
            <w:pPr>
              <w:jc w:val="right"/>
              <w:rPr>
                <w:rFonts w:ascii="Arial Narrow" w:hAnsi="Arial Narrow" w:cs="Open Sans"/>
                <w:color w:val="777777"/>
              </w:rPr>
            </w:pPr>
            <w:r>
              <w:rPr>
                <w:rFonts w:ascii="Arial Narrow" w:hAnsi="Arial Narrow" w:cs="Open Sans"/>
                <w:color w:val="777777"/>
              </w:rPr>
              <w:t xml:space="preserve">702.509 </w:t>
            </w:r>
          </w:p>
        </w:tc>
        <w:tc>
          <w:tcPr>
            <w:tcW w:w="0" w:type="auto"/>
            <w:shd w:val="clear" w:color="auto" w:fill="auto"/>
            <w:tcMar>
              <w:top w:w="0" w:type="dxa"/>
              <w:left w:w="0" w:type="dxa"/>
              <w:bottom w:w="0" w:type="dxa"/>
              <w:right w:w="0" w:type="dxa"/>
            </w:tcMar>
            <w:vAlign w:val="center"/>
            <w:hideMark/>
          </w:tcPr>
          <w:p w14:paraId="588DE8E4" w14:textId="77777777" w:rsidR="00C874BE" w:rsidRDefault="00C874BE">
            <w:pPr>
              <w:jc w:val="right"/>
              <w:rPr>
                <w:rFonts w:ascii="Arial Narrow" w:hAnsi="Arial Narrow" w:cs="Open Sans"/>
                <w:color w:val="777777"/>
              </w:rPr>
            </w:pPr>
            <w:r>
              <w:rPr>
                <w:rFonts w:ascii="Arial Narrow" w:hAnsi="Arial Narrow" w:cs="Open Sans"/>
                <w:color w:val="777777"/>
              </w:rPr>
              <w:t xml:space="preserve">0.184 </w:t>
            </w:r>
          </w:p>
        </w:tc>
      </w:tr>
      <w:tr w:rsidR="00C874BE" w14:paraId="38B56195" w14:textId="77777777">
        <w:trPr>
          <w:divId w:val="301159638"/>
        </w:trPr>
        <w:tc>
          <w:tcPr>
            <w:tcW w:w="0" w:type="auto"/>
            <w:shd w:val="clear" w:color="auto" w:fill="auto"/>
            <w:tcMar>
              <w:top w:w="0" w:type="dxa"/>
              <w:left w:w="480" w:type="dxa"/>
              <w:bottom w:w="0" w:type="dxa"/>
              <w:right w:w="0" w:type="dxa"/>
            </w:tcMar>
            <w:vAlign w:val="center"/>
            <w:hideMark/>
          </w:tcPr>
          <w:p w14:paraId="5CC4C86B" w14:textId="77777777" w:rsidR="00C874BE" w:rsidRDefault="00C874BE">
            <w:pPr>
              <w:jc w:val="left"/>
              <w:rPr>
                <w:rFonts w:ascii="Arial Narrow" w:hAnsi="Arial Narrow" w:cs="Open Sans"/>
                <w:color w:val="777777"/>
              </w:rPr>
            </w:pPr>
            <w:r>
              <w:rPr>
                <w:rFonts w:ascii="Arial Narrow" w:hAnsi="Arial Narrow" w:cs="Open Sans"/>
                <w:color w:val="777777"/>
              </w:rPr>
              <w:t xml:space="preserve">High School </w:t>
            </w:r>
          </w:p>
        </w:tc>
        <w:tc>
          <w:tcPr>
            <w:tcW w:w="0" w:type="auto"/>
            <w:shd w:val="clear" w:color="auto" w:fill="auto"/>
            <w:tcMar>
              <w:top w:w="0" w:type="dxa"/>
              <w:left w:w="0" w:type="dxa"/>
              <w:bottom w:w="0" w:type="dxa"/>
              <w:right w:w="0" w:type="dxa"/>
            </w:tcMar>
            <w:vAlign w:val="center"/>
            <w:hideMark/>
          </w:tcPr>
          <w:p w14:paraId="0449888B" w14:textId="77777777" w:rsidR="00C874BE" w:rsidRDefault="00C874BE">
            <w:pPr>
              <w:jc w:val="right"/>
              <w:rPr>
                <w:rFonts w:ascii="Arial Narrow" w:hAnsi="Arial Narrow" w:cs="Open Sans"/>
                <w:color w:val="777777"/>
              </w:rPr>
            </w:pPr>
            <w:r>
              <w:rPr>
                <w:rFonts w:ascii="Arial Narrow" w:hAnsi="Arial Narrow" w:cs="Open Sans"/>
                <w:color w:val="777777"/>
              </w:rPr>
              <w:t xml:space="preserve">587,566 </w:t>
            </w:r>
          </w:p>
        </w:tc>
        <w:tc>
          <w:tcPr>
            <w:tcW w:w="0" w:type="auto"/>
            <w:shd w:val="clear" w:color="auto" w:fill="auto"/>
            <w:tcMar>
              <w:top w:w="0" w:type="dxa"/>
              <w:left w:w="0" w:type="dxa"/>
              <w:bottom w:w="0" w:type="dxa"/>
              <w:right w:w="0" w:type="dxa"/>
            </w:tcMar>
            <w:vAlign w:val="center"/>
            <w:hideMark/>
          </w:tcPr>
          <w:p w14:paraId="1407DD8B" w14:textId="77777777" w:rsidR="00C874BE" w:rsidRDefault="00C874BE">
            <w:pPr>
              <w:jc w:val="left"/>
              <w:rPr>
                <w:rFonts w:ascii="Arial Narrow" w:hAnsi="Arial Narrow" w:cs="Open Sans"/>
                <w:color w:val="777777"/>
              </w:rPr>
            </w:pPr>
            <w:r>
              <w:rPr>
                <w:rFonts w:ascii="Arial Narrow" w:hAnsi="Arial Narrow" w:cs="Open Sans"/>
                <w:color w:val="777777"/>
              </w:rPr>
              <w:t xml:space="preserve">67.4% </w:t>
            </w:r>
          </w:p>
        </w:tc>
        <w:tc>
          <w:tcPr>
            <w:tcW w:w="0" w:type="auto"/>
            <w:shd w:val="clear" w:color="auto" w:fill="auto"/>
            <w:tcMar>
              <w:top w:w="0" w:type="dxa"/>
              <w:left w:w="0" w:type="dxa"/>
              <w:bottom w:w="0" w:type="dxa"/>
              <w:right w:w="0" w:type="dxa"/>
            </w:tcMar>
            <w:vAlign w:val="center"/>
            <w:hideMark/>
          </w:tcPr>
          <w:p w14:paraId="0CCAD4F2" w14:textId="77777777" w:rsidR="00C874BE" w:rsidRDefault="00C874BE">
            <w:pPr>
              <w:jc w:val="right"/>
              <w:rPr>
                <w:rFonts w:ascii="Arial Narrow" w:hAnsi="Arial Narrow" w:cs="Open Sans"/>
                <w:color w:val="777777"/>
              </w:rPr>
            </w:pPr>
            <w:r>
              <w:rPr>
                <w:rFonts w:ascii="Arial Narrow" w:hAnsi="Arial Narrow" w:cs="Open Sans"/>
                <w:color w:val="777777"/>
              </w:rPr>
              <w:t xml:space="preserve">609.634 </w:t>
            </w:r>
          </w:p>
        </w:tc>
        <w:tc>
          <w:tcPr>
            <w:tcW w:w="0" w:type="auto"/>
            <w:shd w:val="clear" w:color="auto" w:fill="auto"/>
            <w:tcMar>
              <w:top w:w="0" w:type="dxa"/>
              <w:left w:w="0" w:type="dxa"/>
              <w:bottom w:w="0" w:type="dxa"/>
              <w:right w:w="0" w:type="dxa"/>
            </w:tcMar>
            <w:vAlign w:val="center"/>
            <w:hideMark/>
          </w:tcPr>
          <w:p w14:paraId="5C580B46" w14:textId="77777777" w:rsidR="00C874BE" w:rsidRDefault="00C874BE">
            <w:pPr>
              <w:jc w:val="right"/>
              <w:rPr>
                <w:rFonts w:ascii="Arial Narrow" w:hAnsi="Arial Narrow" w:cs="Open Sans"/>
                <w:color w:val="777777"/>
              </w:rPr>
            </w:pPr>
            <w:r>
              <w:rPr>
                <w:rFonts w:ascii="Arial Narrow" w:hAnsi="Arial Narrow" w:cs="Open Sans"/>
                <w:color w:val="777777"/>
              </w:rPr>
              <w:t xml:space="preserve">0.416 </w:t>
            </w:r>
          </w:p>
        </w:tc>
      </w:tr>
      <w:tr w:rsidR="00C874BE" w14:paraId="60FD4632" w14:textId="77777777">
        <w:trPr>
          <w:divId w:val="301159638"/>
        </w:trPr>
        <w:tc>
          <w:tcPr>
            <w:tcW w:w="0" w:type="auto"/>
            <w:shd w:val="clear" w:color="auto" w:fill="auto"/>
            <w:tcMar>
              <w:top w:w="0" w:type="dxa"/>
              <w:left w:w="480" w:type="dxa"/>
              <w:bottom w:w="0" w:type="dxa"/>
              <w:right w:w="0" w:type="dxa"/>
            </w:tcMar>
            <w:vAlign w:val="center"/>
            <w:hideMark/>
          </w:tcPr>
          <w:p w14:paraId="216D7336" w14:textId="77777777" w:rsidR="00C874BE" w:rsidRDefault="00C874BE">
            <w:pPr>
              <w:jc w:val="left"/>
              <w:rPr>
                <w:rFonts w:ascii="Arial Narrow" w:hAnsi="Arial Narrow" w:cs="Open Sans"/>
                <w:color w:val="777777"/>
              </w:rPr>
            </w:pPr>
            <w:r>
              <w:rPr>
                <w:rFonts w:ascii="Arial Narrow" w:hAnsi="Arial Narrow" w:cs="Open Sans"/>
                <w:color w:val="777777"/>
              </w:rPr>
              <w:t xml:space="preserve">Vocational/Technical </w:t>
            </w:r>
          </w:p>
        </w:tc>
        <w:tc>
          <w:tcPr>
            <w:tcW w:w="0" w:type="auto"/>
            <w:shd w:val="clear" w:color="auto" w:fill="auto"/>
            <w:tcMar>
              <w:top w:w="0" w:type="dxa"/>
              <w:left w:w="0" w:type="dxa"/>
              <w:bottom w:w="0" w:type="dxa"/>
              <w:right w:w="0" w:type="dxa"/>
            </w:tcMar>
            <w:vAlign w:val="center"/>
            <w:hideMark/>
          </w:tcPr>
          <w:p w14:paraId="7EE9AF89" w14:textId="77777777" w:rsidR="00C874BE" w:rsidRDefault="00C874BE">
            <w:pPr>
              <w:jc w:val="right"/>
              <w:rPr>
                <w:rFonts w:ascii="Arial Narrow" w:hAnsi="Arial Narrow" w:cs="Open Sans"/>
                <w:color w:val="777777"/>
              </w:rPr>
            </w:pPr>
            <w:r>
              <w:rPr>
                <w:rFonts w:ascii="Arial Narrow" w:hAnsi="Arial Narrow" w:cs="Open Sans"/>
                <w:color w:val="777777"/>
              </w:rPr>
              <w:t xml:space="preserve">4,059 </w:t>
            </w:r>
          </w:p>
        </w:tc>
        <w:tc>
          <w:tcPr>
            <w:tcW w:w="0" w:type="auto"/>
            <w:shd w:val="clear" w:color="auto" w:fill="auto"/>
            <w:tcMar>
              <w:top w:w="0" w:type="dxa"/>
              <w:left w:w="0" w:type="dxa"/>
              <w:bottom w:w="0" w:type="dxa"/>
              <w:right w:w="0" w:type="dxa"/>
            </w:tcMar>
            <w:vAlign w:val="center"/>
            <w:hideMark/>
          </w:tcPr>
          <w:p w14:paraId="66002190" w14:textId="77777777" w:rsidR="00C874BE" w:rsidRDefault="00C874BE">
            <w:pPr>
              <w:jc w:val="left"/>
              <w:rPr>
                <w:rFonts w:ascii="Arial Narrow" w:hAnsi="Arial Narrow" w:cs="Open Sans"/>
                <w:color w:val="777777"/>
              </w:rPr>
            </w:pPr>
            <w:r>
              <w:rPr>
                <w:rFonts w:ascii="Arial Narrow" w:hAnsi="Arial Narrow" w:cs="Open Sans"/>
                <w:color w:val="777777"/>
              </w:rPr>
              <w:t xml:space="preserve">0.5% </w:t>
            </w:r>
          </w:p>
        </w:tc>
        <w:tc>
          <w:tcPr>
            <w:tcW w:w="0" w:type="auto"/>
            <w:shd w:val="clear" w:color="auto" w:fill="auto"/>
            <w:tcMar>
              <w:top w:w="0" w:type="dxa"/>
              <w:left w:w="0" w:type="dxa"/>
              <w:bottom w:w="0" w:type="dxa"/>
              <w:right w:w="0" w:type="dxa"/>
            </w:tcMar>
            <w:vAlign w:val="center"/>
            <w:hideMark/>
          </w:tcPr>
          <w:p w14:paraId="2E1488D3" w14:textId="77777777" w:rsidR="00C874BE" w:rsidRDefault="00C874BE">
            <w:pPr>
              <w:jc w:val="right"/>
              <w:rPr>
                <w:rFonts w:ascii="Arial Narrow" w:hAnsi="Arial Narrow" w:cs="Open Sans"/>
                <w:color w:val="777777"/>
              </w:rPr>
            </w:pPr>
            <w:r>
              <w:rPr>
                <w:rFonts w:ascii="Arial Narrow" w:hAnsi="Arial Narrow" w:cs="Open Sans"/>
                <w:color w:val="777777"/>
              </w:rPr>
              <w:t xml:space="preserve">678.342 </w:t>
            </w:r>
          </w:p>
        </w:tc>
        <w:tc>
          <w:tcPr>
            <w:tcW w:w="0" w:type="auto"/>
            <w:shd w:val="clear" w:color="auto" w:fill="auto"/>
            <w:tcMar>
              <w:top w:w="0" w:type="dxa"/>
              <w:left w:w="0" w:type="dxa"/>
              <w:bottom w:w="0" w:type="dxa"/>
              <w:right w:w="0" w:type="dxa"/>
            </w:tcMar>
            <w:vAlign w:val="center"/>
            <w:hideMark/>
          </w:tcPr>
          <w:p w14:paraId="64D1D5A0" w14:textId="77777777" w:rsidR="00C874BE" w:rsidRDefault="00C874BE">
            <w:pPr>
              <w:jc w:val="right"/>
              <w:rPr>
                <w:rFonts w:ascii="Arial Narrow" w:hAnsi="Arial Narrow" w:cs="Open Sans"/>
                <w:color w:val="777777"/>
              </w:rPr>
            </w:pPr>
            <w:r>
              <w:rPr>
                <w:rFonts w:ascii="Arial Narrow" w:hAnsi="Arial Narrow" w:cs="Open Sans"/>
                <w:color w:val="777777"/>
              </w:rPr>
              <w:t xml:space="preserve">0.204 </w:t>
            </w:r>
          </w:p>
        </w:tc>
      </w:tr>
    </w:tbl>
    <w:p w14:paraId="6F7ADBA8" w14:textId="77777777" w:rsidR="00C874BE" w:rsidRDefault="00C874BE">
      <w:pPr>
        <w:divId w:val="301159638"/>
      </w:pPr>
    </w:p>
    <w:p w14:paraId="4F78D7E0" w14:textId="6057BA5F" w:rsidR="00E16281" w:rsidRDefault="00E16281" w:rsidP="00AF2D1C">
      <w:pPr>
        <w:pStyle w:val="p1a"/>
      </w:pPr>
    </w:p>
    <w:p w14:paraId="69FE938D" w14:textId="031EDB41" w:rsidR="00AF2D1C" w:rsidRDefault="00DB0829" w:rsidP="00DB0829">
      <w:pPr>
        <w:pStyle w:val="tablecaption"/>
      </w:pPr>
      <w:r>
        <w:rPr>
          <w:b/>
        </w:rPr>
        <w:t xml:space="preserve">Table </w:t>
      </w:r>
      <w:r>
        <w:rPr>
          <w:b/>
        </w:rPr>
        <w:fldChar w:fldCharType="begin"/>
      </w:r>
      <w:r>
        <w:rPr>
          <w:b/>
        </w:rPr>
        <w:instrText xml:space="preserve"> SEQ "Table" \* MERGEFORMAT </w:instrText>
      </w:r>
      <w:r>
        <w:rPr>
          <w:b/>
        </w:rPr>
        <w:fldChar w:fldCharType="separate"/>
      </w:r>
      <w:r w:rsidR="0043386E">
        <w:rPr>
          <w:b/>
          <w:noProof/>
        </w:rPr>
        <w:t>1</w:t>
      </w:r>
      <w:r>
        <w:rPr>
          <w:b/>
        </w:rPr>
        <w:fldChar w:fldCharType="end"/>
      </w:r>
      <w:r>
        <w:rPr>
          <w:b/>
        </w:rPr>
        <w:t>.</w:t>
      </w:r>
      <w:r>
        <w:t xml:space="preserve"> Descriptive Statistics</w:t>
      </w:r>
    </w:p>
    <w:p w14:paraId="666F7DA2" w14:textId="77777777" w:rsidR="00DB0829" w:rsidRPr="00DB0829" w:rsidRDefault="00DB0829" w:rsidP="00DB0829">
      <w:pPr>
        <w:rPr>
          <w:lang w:val="de-DE"/>
        </w:rPr>
      </w:pPr>
    </w:p>
    <w:p w14:paraId="5E33A1E4" w14:textId="77777777" w:rsidR="00AF2D1C" w:rsidRDefault="00AF2D1C" w:rsidP="00DB0829">
      <w:pPr>
        <w:pStyle w:val="heading2"/>
      </w:pPr>
      <w:r>
        <w:t xml:space="preserve"> Bias Measurements</w:t>
      </w:r>
    </w:p>
    <w:p w14:paraId="62ED658D" w14:textId="77777777" w:rsidR="00AF2D1C" w:rsidRDefault="00AF2D1C" w:rsidP="00AF2D1C">
      <w:pPr>
        <w:pStyle w:val="p1a"/>
      </w:pPr>
    </w:p>
    <w:p w14:paraId="4C84D4A6" w14:textId="043D3E08" w:rsidR="00AF2D1C" w:rsidRDefault="00AF2D1C" w:rsidP="00AF2D1C">
      <w:pPr>
        <w:pStyle w:val="p1a"/>
      </w:pPr>
      <w:r>
        <w:t xml:space="preserve">Using the methodology designed by </w:t>
      </w:r>
      <w:r w:rsidR="00DB0829">
        <w:t xml:space="preserve">Hardt, Price and </w:t>
      </w:r>
      <w:proofErr w:type="spellStart"/>
      <w:r w:rsidR="00DB0829">
        <w:t>Srebro</w:t>
      </w:r>
      <w:proofErr w:type="spellEnd"/>
      <w:r w:rsidR="00DB0829">
        <w:t xml:space="preserve"> (2016)</w:t>
      </w:r>
      <w:r>
        <w:t xml:space="preserve"> the following scenarios will be applied to our protected classes: profit maximization, race blind, demographic parity, equal opportunity. </w:t>
      </w:r>
    </w:p>
    <w:p w14:paraId="1EDEBC6C" w14:textId="77777777" w:rsidR="00AF2D1C" w:rsidRDefault="00AF2D1C" w:rsidP="00250FAA">
      <w:pPr>
        <w:pStyle w:val="Heading3"/>
        <w:rPr>
          <w:rStyle w:val="heading30"/>
        </w:rPr>
      </w:pPr>
      <w:r w:rsidRPr="00250FAA">
        <w:rPr>
          <w:rStyle w:val="heading30"/>
        </w:rPr>
        <w:t>Profit Maximization</w:t>
      </w:r>
    </w:p>
    <w:p w14:paraId="61EF4616" w14:textId="77777777" w:rsidR="00D075F4" w:rsidRPr="00D075F4" w:rsidRDefault="00D075F4" w:rsidP="00D075F4"/>
    <w:p w14:paraId="3360A571" w14:textId="77777777" w:rsidR="00250FAA" w:rsidRDefault="00250FAA" w:rsidP="00250FAA">
      <w:pPr>
        <w:pStyle w:val="p1a"/>
      </w:pPr>
      <w:r>
        <w:t xml:space="preserve">This measurement assumes that lenders will seek to minimize false positives. Hence, a cutoff for applicants is required. A FICO cutoff of 620 is used for good credit as classified by the Consumer Financial Protection Bureau. From Figure 1 setting the setting </w:t>
      </w:r>
      <w:r>
        <w:lastRenderedPageBreak/>
        <w:t xml:space="preserve">the FICO score to 620 results in the total non-default rate of 82%; or the default rate to 18%. Hence, for profit maximization we will set the FICO scores accordingly so that each group achieves maximum 18% default rate. Notice how from the graph below, individual FICO cutoffs will differ widely, Hispanics having the lowest and Whites having the highest. </w:t>
      </w:r>
    </w:p>
    <w:p w14:paraId="1DB7A5A9" w14:textId="77777777" w:rsidR="00250FAA" w:rsidRDefault="00250FAA" w:rsidP="00250FAA">
      <w:pPr>
        <w:pStyle w:val="p1a"/>
      </w:pPr>
      <w:r>
        <w:t xml:space="preserve"> </w:t>
      </w:r>
    </w:p>
    <w:p w14:paraId="295B146B" w14:textId="77777777" w:rsidR="00250FAA" w:rsidRDefault="00250FAA" w:rsidP="00250FAA">
      <w:pPr>
        <w:pStyle w:val="p1a"/>
      </w:pPr>
      <w:r>
        <w:t>To arrive at the EnergyScore threshold, the computation includes analyzing the share of the group approved, then setting the EnergyScore threshold to the same proportion. This concept is seen in the idea of demographic parity</w:t>
      </w:r>
      <w:r w:rsidR="00BB1762">
        <w:t xml:space="preserve">. </w:t>
      </w:r>
    </w:p>
    <w:p w14:paraId="262B266A" w14:textId="77777777" w:rsidR="00250FAA" w:rsidRPr="00250FAA" w:rsidRDefault="00250FAA" w:rsidP="00250FAA"/>
    <w:p w14:paraId="606D664E" w14:textId="77777777" w:rsidR="00250FAA" w:rsidRDefault="00E16281" w:rsidP="00250FAA">
      <w:r>
        <w:rPr>
          <w:noProof/>
        </w:rPr>
        <w:drawing>
          <wp:inline distT="0" distB="0" distL="0" distR="0" wp14:anchorId="2A963CBF" wp14:editId="60A5454D">
            <wp:extent cx="4392930" cy="3660775"/>
            <wp:effectExtent l="0" t="0" r="1270" b="0"/>
            <wp:docPr id="975598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98960" name="Picture 975598960"/>
                    <pic:cNvPicPr/>
                  </pic:nvPicPr>
                  <pic:blipFill>
                    <a:blip r:embed="rId7">
                      <a:extLst>
                        <a:ext uri="{28A0092B-C50C-407E-A947-70E740481C1C}">
                          <a14:useLocalDpi xmlns:a14="http://schemas.microsoft.com/office/drawing/2010/main" val="0"/>
                        </a:ext>
                      </a:extLst>
                    </a:blip>
                    <a:stretch>
                      <a:fillRect/>
                    </a:stretch>
                  </pic:blipFill>
                  <pic:spPr>
                    <a:xfrm>
                      <a:off x="0" y="0"/>
                      <a:ext cx="4392930" cy="3660775"/>
                    </a:xfrm>
                    <a:prstGeom prst="rect">
                      <a:avLst/>
                    </a:prstGeom>
                  </pic:spPr>
                </pic:pic>
              </a:graphicData>
            </a:graphic>
          </wp:inline>
        </w:drawing>
      </w:r>
    </w:p>
    <w:p w14:paraId="5FFAA835" w14:textId="64094502" w:rsidR="00250FAA" w:rsidRDefault="00250FAA" w:rsidP="00D075F4">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1</w:t>
      </w:r>
      <w:r>
        <w:rPr>
          <w:b/>
        </w:rPr>
        <w:fldChar w:fldCharType="end"/>
      </w:r>
      <w:r>
        <w:rPr>
          <w:b/>
        </w:rPr>
        <w:t>.</w:t>
      </w:r>
      <w:r>
        <w:t xml:space="preserve"> Profit Maximization Threshold for Race</w:t>
      </w:r>
    </w:p>
    <w:p w14:paraId="2E13EC58" w14:textId="77777777" w:rsidR="00AF2D1C" w:rsidRPr="00D075F4" w:rsidRDefault="00AF2D1C" w:rsidP="00D075F4">
      <w:pPr>
        <w:pStyle w:val="Heading3"/>
      </w:pPr>
      <w:r w:rsidRPr="00D075F4">
        <w:rPr>
          <w:rStyle w:val="heading30"/>
        </w:rPr>
        <w:t>Race Blind</w:t>
      </w:r>
    </w:p>
    <w:p w14:paraId="4D5EC5CF" w14:textId="77777777" w:rsidR="00AF2D1C" w:rsidRDefault="00AF2D1C" w:rsidP="00AF2D1C">
      <w:pPr>
        <w:pStyle w:val="p1a"/>
      </w:pPr>
      <w:r>
        <w:t xml:space="preserve"> </w:t>
      </w:r>
    </w:p>
    <w:p w14:paraId="47D767DF" w14:textId="77777777" w:rsidR="00AF2D1C" w:rsidRDefault="00D075F4" w:rsidP="00AF2D1C">
      <w:pPr>
        <w:pStyle w:val="p1a"/>
      </w:pPr>
      <w:r>
        <w:t>This criterion</w:t>
      </w:r>
      <w:r w:rsidR="00AF2D1C">
        <w:t xml:space="preserve"> mimics the threshold construction steps completed in Profit Maximization however by only applying a single threshold to all groups. Hence to extend the previous example, all groups will be applied the same threshold of 620 for FICO. In threshold comparison section at end of each group, no variation will be observed. </w:t>
      </w:r>
    </w:p>
    <w:p w14:paraId="2DB8AF67" w14:textId="77777777" w:rsidR="00D075F4" w:rsidRDefault="00D075F4" w:rsidP="00D075F4">
      <w:pPr>
        <w:pStyle w:val="p1a"/>
      </w:pPr>
    </w:p>
    <w:p w14:paraId="212DD0A5" w14:textId="77777777" w:rsidR="00D075F4" w:rsidRPr="00D075F4" w:rsidRDefault="00AF2D1C" w:rsidP="00D075F4">
      <w:pPr>
        <w:pStyle w:val="p1a"/>
      </w:pPr>
      <w:r w:rsidRPr="00D075F4">
        <w:rPr>
          <w:rStyle w:val="heading30"/>
        </w:rPr>
        <w:t>Demographic Parity</w:t>
      </w:r>
    </w:p>
    <w:p w14:paraId="75AA15B1" w14:textId="77777777" w:rsidR="00AF2D1C" w:rsidRDefault="00AF2D1C" w:rsidP="00AF2D1C">
      <w:pPr>
        <w:pStyle w:val="p1a"/>
      </w:pPr>
      <w:r>
        <w:lastRenderedPageBreak/>
        <w:t xml:space="preserve"> </w:t>
      </w:r>
    </w:p>
    <w:p w14:paraId="190F19A5" w14:textId="77777777" w:rsidR="00AF2D1C" w:rsidRDefault="00AF2D1C" w:rsidP="00AF2D1C">
      <w:pPr>
        <w:pStyle w:val="p1a"/>
      </w:pPr>
      <w:r>
        <w:t>This theory sets the thresholds different for each group such that the proportion of accepted is equal across all groups. This leads to divergent thresholds per group. Figure</w:t>
      </w:r>
      <w:r w:rsidR="00D075F4">
        <w:t xml:space="preserve"> 2 </w:t>
      </w:r>
      <w:r>
        <w:t xml:space="preserve">below visualizes the result, as different subgroups, race in this instance, would receive different thresholds. The graph below shows the same cumulative distribution curves. In demographic parity constraints, the threshold is calculated by setting the proportion of population above that value. </w:t>
      </w:r>
    </w:p>
    <w:p w14:paraId="73578975" w14:textId="77777777" w:rsidR="00F85026" w:rsidRDefault="00F85026" w:rsidP="00AF2D1C">
      <w:pPr>
        <w:pStyle w:val="p1a"/>
      </w:pPr>
    </w:p>
    <w:p w14:paraId="00414864" w14:textId="77777777" w:rsidR="00F85026" w:rsidRDefault="00F85026" w:rsidP="00F85026">
      <w:pPr>
        <w:pStyle w:val="figurecaption"/>
      </w:pPr>
    </w:p>
    <w:p w14:paraId="6382D39B" w14:textId="77777777" w:rsidR="00F85026" w:rsidRDefault="00F85026" w:rsidP="00F85026">
      <w:pPr>
        <w:pStyle w:val="figurecaption"/>
      </w:pPr>
      <w:r w:rsidRPr="00F85026">
        <w:rPr>
          <w:noProof/>
        </w:rPr>
        <w:drawing>
          <wp:inline distT="0" distB="0" distL="0" distR="0" wp14:anchorId="407D48E1" wp14:editId="2161B4A2">
            <wp:extent cx="4392930" cy="3514090"/>
            <wp:effectExtent l="0" t="0" r="1270" b="3810"/>
            <wp:docPr id="1079781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81383" name="Picture 1079781383"/>
                    <pic:cNvPicPr/>
                  </pic:nvPicPr>
                  <pic:blipFill>
                    <a:blip r:embed="rId8">
                      <a:extLst>
                        <a:ext uri="{28A0092B-C50C-407E-A947-70E740481C1C}">
                          <a14:useLocalDpi xmlns:a14="http://schemas.microsoft.com/office/drawing/2010/main" val="0"/>
                        </a:ext>
                      </a:extLst>
                    </a:blip>
                    <a:stretch>
                      <a:fillRect/>
                    </a:stretch>
                  </pic:blipFill>
                  <pic:spPr>
                    <a:xfrm>
                      <a:off x="0" y="0"/>
                      <a:ext cx="4392930" cy="3514090"/>
                    </a:xfrm>
                    <a:prstGeom prst="rect">
                      <a:avLst/>
                    </a:prstGeom>
                  </pic:spPr>
                </pic:pic>
              </a:graphicData>
            </a:graphic>
          </wp:inline>
        </w:drawing>
      </w:r>
    </w:p>
    <w:p w14:paraId="2CFCD2C1" w14:textId="40A8C8A4" w:rsidR="00AF2D1C" w:rsidRPr="00F85026" w:rsidRDefault="00F85026" w:rsidP="00F85026">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2</w:t>
      </w:r>
      <w:r>
        <w:rPr>
          <w:b/>
        </w:rPr>
        <w:fldChar w:fldCharType="end"/>
      </w:r>
      <w:r>
        <w:rPr>
          <w:b/>
        </w:rPr>
        <w:t>.</w:t>
      </w:r>
      <w:r>
        <w:t xml:space="preserve"> Demographic Parity Threshold</w:t>
      </w:r>
    </w:p>
    <w:p w14:paraId="7A2DF81F" w14:textId="77777777" w:rsidR="00AF2D1C" w:rsidRDefault="00AF2D1C" w:rsidP="00AF2D1C">
      <w:pPr>
        <w:pStyle w:val="p1a"/>
      </w:pPr>
    </w:p>
    <w:p w14:paraId="5094BE70" w14:textId="77777777" w:rsidR="00AF2D1C" w:rsidRPr="004E0A20" w:rsidRDefault="00AF2D1C" w:rsidP="004E0A20">
      <w:pPr>
        <w:pStyle w:val="Heading3"/>
      </w:pPr>
      <w:r w:rsidRPr="004E0A20">
        <w:rPr>
          <w:rStyle w:val="heading30"/>
        </w:rPr>
        <w:t>Equal Opportunity</w:t>
      </w:r>
    </w:p>
    <w:p w14:paraId="755AAE38" w14:textId="77777777" w:rsidR="00AF2D1C" w:rsidRDefault="00AF2D1C" w:rsidP="00AF2D1C">
      <w:pPr>
        <w:pStyle w:val="p1a"/>
      </w:pPr>
    </w:p>
    <w:p w14:paraId="32DA8AE3" w14:textId="77777777" w:rsidR="00AF2D1C" w:rsidRDefault="00AF2D1C" w:rsidP="00AF2D1C">
      <w:pPr>
        <w:pStyle w:val="p1a"/>
      </w:pPr>
      <w:r>
        <w:t xml:space="preserve">The true positive rate, also known as sensitivity or recall, is the proportion of actual positive cases that are correctly identified by a model. The Equal Opportunity criteria </w:t>
      </w:r>
      <w:proofErr w:type="gramStart"/>
      <w:r>
        <w:t>sets</w:t>
      </w:r>
      <w:proofErr w:type="gramEnd"/>
      <w:r>
        <w:t xml:space="preserve"> the true positive rate equal across all groups. In the graph below, the true positive rate is shown with varying levels of FICO score cutoffs. In the example, the developer </w:t>
      </w:r>
      <w:r>
        <w:lastRenderedPageBreak/>
        <w:t xml:space="preserve">would choose a true positive level, in the below 70%, and apply the varying thresholds accordingly. </w:t>
      </w:r>
    </w:p>
    <w:p w14:paraId="050EF990" w14:textId="77777777" w:rsidR="00AF2D1C" w:rsidRDefault="004E0A20" w:rsidP="00AF2D1C">
      <w:pPr>
        <w:pStyle w:val="p1a"/>
      </w:pPr>
      <w:r>
        <w:rPr>
          <w:noProof/>
        </w:rPr>
        <w:drawing>
          <wp:inline distT="0" distB="0" distL="0" distR="0" wp14:anchorId="219735F0" wp14:editId="40FD007E">
            <wp:extent cx="4392930" cy="3514090"/>
            <wp:effectExtent l="0" t="0" r="1270" b="3810"/>
            <wp:docPr id="774838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38807" name="Picture 774838807"/>
                    <pic:cNvPicPr/>
                  </pic:nvPicPr>
                  <pic:blipFill>
                    <a:blip r:embed="rId9">
                      <a:extLst>
                        <a:ext uri="{28A0092B-C50C-407E-A947-70E740481C1C}">
                          <a14:useLocalDpi xmlns:a14="http://schemas.microsoft.com/office/drawing/2010/main" val="0"/>
                        </a:ext>
                      </a:extLst>
                    </a:blip>
                    <a:stretch>
                      <a:fillRect/>
                    </a:stretch>
                  </pic:blipFill>
                  <pic:spPr>
                    <a:xfrm>
                      <a:off x="0" y="0"/>
                      <a:ext cx="4392930" cy="3514090"/>
                    </a:xfrm>
                    <a:prstGeom prst="rect">
                      <a:avLst/>
                    </a:prstGeom>
                  </pic:spPr>
                </pic:pic>
              </a:graphicData>
            </a:graphic>
          </wp:inline>
        </w:drawing>
      </w:r>
    </w:p>
    <w:p w14:paraId="2A88CDA6" w14:textId="77777777" w:rsidR="004E0A20" w:rsidRDefault="004E0A20" w:rsidP="00AF2D1C">
      <w:pPr>
        <w:pStyle w:val="p1a"/>
      </w:pPr>
    </w:p>
    <w:p w14:paraId="5D4625F4" w14:textId="1E6C7768" w:rsidR="004E0A20" w:rsidRDefault="004E0A20" w:rsidP="004E0A20">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3</w:t>
      </w:r>
      <w:r>
        <w:rPr>
          <w:b/>
        </w:rPr>
        <w:fldChar w:fldCharType="end"/>
      </w:r>
      <w:r>
        <w:rPr>
          <w:b/>
        </w:rPr>
        <w:t>.</w:t>
      </w:r>
      <w:r>
        <w:t xml:space="preserve"> Equal Opportunity Threshold</w:t>
      </w:r>
    </w:p>
    <w:p w14:paraId="672AFADF" w14:textId="77777777" w:rsidR="00683A0A" w:rsidRPr="00683A0A" w:rsidRDefault="00683A0A" w:rsidP="00683A0A"/>
    <w:p w14:paraId="76E7392A" w14:textId="16B6D13E" w:rsidR="00AF2D1C" w:rsidRPr="00683A0A" w:rsidRDefault="00AF2D1C" w:rsidP="00683A0A">
      <w:pPr>
        <w:pStyle w:val="Heading3"/>
      </w:pPr>
      <w:r w:rsidRPr="00683A0A">
        <w:rPr>
          <w:rStyle w:val="heading30"/>
        </w:rPr>
        <w:t xml:space="preserve">Inter-Group </w:t>
      </w:r>
      <w:r w:rsidR="00950D64">
        <w:rPr>
          <w:rStyle w:val="heading30"/>
        </w:rPr>
        <w:t>Variance</w:t>
      </w:r>
      <w:r w:rsidR="00683A0A">
        <w:t xml:space="preserve"> </w:t>
      </w:r>
    </w:p>
    <w:p w14:paraId="1F88FFA3" w14:textId="77777777" w:rsidR="00AF2D1C" w:rsidRDefault="00AF2D1C" w:rsidP="00AF2D1C">
      <w:pPr>
        <w:pStyle w:val="p1a"/>
      </w:pPr>
    </w:p>
    <w:p w14:paraId="65C3E1F6" w14:textId="57D33CCC" w:rsidR="00AF2D1C" w:rsidRDefault="00AF2D1C" w:rsidP="00AF2D1C">
      <w:pPr>
        <w:pStyle w:val="p1a"/>
      </w:pPr>
      <w:r>
        <w:t xml:space="preserve">Comparing distributions of thresholds from traditional bias measurements is a necessary but not sufficient step in our analysis. Expanding protected classes in this analysis provides more observations, but to determine how protected classes are treated by each algorithm, we propose using a common practice in mathematical statistics: inter-group variance. </w:t>
      </w:r>
    </w:p>
    <w:p w14:paraId="26C07ABA" w14:textId="77777777" w:rsidR="00AF2D1C" w:rsidRDefault="00AF2D1C" w:rsidP="00AF2D1C">
      <w:pPr>
        <w:pStyle w:val="p1a"/>
      </w:pPr>
    </w:p>
    <w:p w14:paraId="48095010" w14:textId="1030744F" w:rsidR="00347F01" w:rsidRPr="00347F01" w:rsidRDefault="00347F01" w:rsidP="00347F01">
      <w:pPr>
        <w:ind w:firstLine="0"/>
      </w:pPr>
      <w:r>
        <w:t>Y</w:t>
      </w:r>
      <w:r w:rsidRPr="00347F01">
        <w:t>ang et al. (2022) previously found that expanding protected classes beyond race and gender is valuable in minimizing disparate impacts, particularly for marginalized groups. While the authors apply the inter-group theory to receiver operating characteristic (ROC) curves (AUC), we apply a simplistic variance calculation for thresholds to determine how the respective risk classification metrics treat different groups.</w:t>
      </w:r>
    </w:p>
    <w:p w14:paraId="4B8EDEE1" w14:textId="77777777" w:rsidR="00347F01" w:rsidRDefault="00347F01" w:rsidP="00AF2D1C">
      <w:pPr>
        <w:pStyle w:val="p1a"/>
      </w:pPr>
    </w:p>
    <w:p w14:paraId="0F33E7FA" w14:textId="77777777" w:rsidR="00AF2D1C" w:rsidRDefault="00AF2D1C" w:rsidP="00AF2D1C">
      <w:pPr>
        <w:pStyle w:val="p1a"/>
      </w:pPr>
    </w:p>
    <w:p w14:paraId="55572A46" w14:textId="77777777" w:rsidR="00AF2D1C" w:rsidRDefault="00AF2D1C" w:rsidP="00AF2D1C">
      <w:pPr>
        <w:pStyle w:val="p1a"/>
      </w:pPr>
    </w:p>
    <w:p w14:paraId="0BFDB213" w14:textId="77777777" w:rsidR="00AF2D1C" w:rsidRDefault="00AF2D1C" w:rsidP="006A059F">
      <w:pPr>
        <w:pStyle w:val="heading1"/>
      </w:pPr>
      <w:r>
        <w:t>Results</w:t>
      </w:r>
    </w:p>
    <w:p w14:paraId="1EA532EF" w14:textId="77777777" w:rsidR="00AF2D1C" w:rsidRDefault="00AF2D1C" w:rsidP="00AF2D1C">
      <w:pPr>
        <w:pStyle w:val="p1a"/>
      </w:pPr>
    </w:p>
    <w:p w14:paraId="429FBEDC" w14:textId="77777777" w:rsidR="00AF2D1C" w:rsidRDefault="00AF2D1C" w:rsidP="00AF2D1C">
      <w:pPr>
        <w:pStyle w:val="p1a"/>
      </w:pPr>
      <w:r>
        <w:t xml:space="preserve">To quantify how the four protected classes of interest are treated under the four threshold construction scenarios, we provide the following results. First, the thresholds for each protected class are shown on a continuum of the respective metrics range. This shows the relative difference in treatments within a particular metric. </w:t>
      </w:r>
    </w:p>
    <w:p w14:paraId="14BE914C" w14:textId="6680C877" w:rsidR="000077A9" w:rsidRPr="000077A9" w:rsidRDefault="000077A9" w:rsidP="000077A9">
      <w:pPr>
        <w:pStyle w:val="Heading3"/>
        <w:rPr>
          <w:rStyle w:val="heading30"/>
        </w:rPr>
      </w:pPr>
      <w:r>
        <w:rPr>
          <w:rStyle w:val="heading30"/>
        </w:rPr>
        <w:t>Threshold Comparisons</w:t>
      </w:r>
    </w:p>
    <w:p w14:paraId="0569D511" w14:textId="77777777" w:rsidR="00283022" w:rsidRDefault="00283022" w:rsidP="00AF2D1C">
      <w:pPr>
        <w:pStyle w:val="p1a"/>
      </w:pPr>
    </w:p>
    <w:p w14:paraId="62D17C19" w14:textId="62BABBEA" w:rsidR="00903A75" w:rsidRDefault="00283022" w:rsidP="00903A75">
      <w:r w:rsidRPr="00283022">
        <w:t>In Figure 4 the thresholds are shown for Income and Race.</w:t>
      </w:r>
      <w:r w:rsidR="00661B1D">
        <w:t xml:space="preserve"> Note how the thresholds for EnergyScore are nearly identical, whereas the FICO score distribution of thresholds at various optimization goals are widely</w:t>
      </w:r>
      <w:r w:rsidR="00D60545">
        <w:t xml:space="preserve"> dispersed. </w:t>
      </w:r>
      <w:r w:rsidR="00903A75">
        <w:t>Similar distributions are seen in</w:t>
      </w:r>
      <w:r w:rsidR="00903A75" w:rsidRPr="002E778B">
        <w:t xml:space="preserve"> Figure 5 the thresholds are shown for Education and Homeownership.</w:t>
      </w:r>
    </w:p>
    <w:p w14:paraId="2E3E0023" w14:textId="1992A7C5" w:rsidR="00661B1D" w:rsidRDefault="00661B1D" w:rsidP="00AF2D1C">
      <w:pPr>
        <w:pStyle w:val="p1a"/>
      </w:pPr>
    </w:p>
    <w:p w14:paraId="481FAA2B" w14:textId="14EB9EF6" w:rsidR="00283022" w:rsidRDefault="00661B1D" w:rsidP="00AF2D1C">
      <w:pPr>
        <w:pStyle w:val="p1a"/>
      </w:pPr>
      <w:r>
        <w:t xml:space="preserve"> </w:t>
      </w:r>
    </w:p>
    <w:p w14:paraId="01D007EB" w14:textId="77777777" w:rsidR="00283022" w:rsidRDefault="00283022" w:rsidP="00AF2D1C">
      <w:pPr>
        <w:pStyle w:val="p1a"/>
      </w:pPr>
    </w:p>
    <w:p w14:paraId="24CC831C" w14:textId="77777777" w:rsidR="00283022" w:rsidRDefault="002E778B" w:rsidP="00AF2D1C">
      <w:pPr>
        <w:pStyle w:val="p1a"/>
      </w:pPr>
      <w:r>
        <w:rPr>
          <w:noProof/>
        </w:rPr>
        <w:drawing>
          <wp:inline distT="0" distB="0" distL="0" distR="0" wp14:anchorId="4508C67A" wp14:editId="241C42E4">
            <wp:extent cx="4700782" cy="2824682"/>
            <wp:effectExtent l="0" t="0" r="0" b="0"/>
            <wp:docPr id="13830382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38208" name="Picture 1383038208"/>
                    <pic:cNvPicPr/>
                  </pic:nvPicPr>
                  <pic:blipFill>
                    <a:blip r:embed="rId10">
                      <a:extLst>
                        <a:ext uri="{28A0092B-C50C-407E-A947-70E740481C1C}">
                          <a14:useLocalDpi xmlns:a14="http://schemas.microsoft.com/office/drawing/2010/main" val="0"/>
                        </a:ext>
                      </a:extLst>
                    </a:blip>
                    <a:stretch>
                      <a:fillRect/>
                    </a:stretch>
                  </pic:blipFill>
                  <pic:spPr>
                    <a:xfrm>
                      <a:off x="0" y="0"/>
                      <a:ext cx="4714169" cy="2832726"/>
                    </a:xfrm>
                    <a:prstGeom prst="rect">
                      <a:avLst/>
                    </a:prstGeom>
                  </pic:spPr>
                </pic:pic>
              </a:graphicData>
            </a:graphic>
          </wp:inline>
        </w:drawing>
      </w:r>
    </w:p>
    <w:p w14:paraId="54CEA09D" w14:textId="77777777" w:rsidR="002E778B" w:rsidRDefault="002E778B" w:rsidP="00AF2D1C">
      <w:pPr>
        <w:pStyle w:val="p1a"/>
      </w:pPr>
    </w:p>
    <w:p w14:paraId="15F496E8" w14:textId="6A62452D" w:rsidR="002E778B" w:rsidRDefault="002E778B" w:rsidP="002E778B">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4</w:t>
      </w:r>
      <w:r>
        <w:rPr>
          <w:b/>
        </w:rPr>
        <w:fldChar w:fldCharType="end"/>
      </w:r>
      <w:r>
        <w:rPr>
          <w:b/>
        </w:rPr>
        <w:t>.</w:t>
      </w:r>
      <w:r>
        <w:t xml:space="preserve"> Income and Race Threshold Comparisons</w:t>
      </w:r>
    </w:p>
    <w:p w14:paraId="5FA28169" w14:textId="77777777" w:rsidR="002E778B" w:rsidRDefault="002E778B" w:rsidP="002E778B"/>
    <w:p w14:paraId="1FD32E39" w14:textId="77777777" w:rsidR="002E778B" w:rsidRDefault="002E778B" w:rsidP="002E778B"/>
    <w:p w14:paraId="533444AE" w14:textId="77777777" w:rsidR="002E778B" w:rsidRPr="002E778B" w:rsidRDefault="002E778B" w:rsidP="002E778B"/>
    <w:p w14:paraId="634DFD06" w14:textId="71F2F26D" w:rsidR="00283022" w:rsidRDefault="002E778B" w:rsidP="00AF2D1C">
      <w:pPr>
        <w:pStyle w:val="p1a"/>
      </w:pPr>
      <w:r>
        <w:rPr>
          <w:noProof/>
        </w:rPr>
        <w:drawing>
          <wp:inline distT="0" distB="0" distL="0" distR="0" wp14:anchorId="104B2A73" wp14:editId="6DB49A1F">
            <wp:extent cx="5302045" cy="2890910"/>
            <wp:effectExtent l="0" t="0" r="0" b="5080"/>
            <wp:docPr id="5220500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50054" name="Picture 522050054"/>
                    <pic:cNvPicPr/>
                  </pic:nvPicPr>
                  <pic:blipFill>
                    <a:blip r:embed="rId11">
                      <a:extLst>
                        <a:ext uri="{28A0092B-C50C-407E-A947-70E740481C1C}">
                          <a14:useLocalDpi xmlns:a14="http://schemas.microsoft.com/office/drawing/2010/main" val="0"/>
                        </a:ext>
                      </a:extLst>
                    </a:blip>
                    <a:stretch>
                      <a:fillRect/>
                    </a:stretch>
                  </pic:blipFill>
                  <pic:spPr>
                    <a:xfrm>
                      <a:off x="0" y="0"/>
                      <a:ext cx="5355421" cy="2920013"/>
                    </a:xfrm>
                    <a:prstGeom prst="rect">
                      <a:avLst/>
                    </a:prstGeom>
                  </pic:spPr>
                </pic:pic>
              </a:graphicData>
            </a:graphic>
          </wp:inline>
        </w:drawing>
      </w:r>
    </w:p>
    <w:p w14:paraId="6269E751" w14:textId="77777777" w:rsidR="002E778B" w:rsidRDefault="002E778B" w:rsidP="00AF2D1C">
      <w:pPr>
        <w:pStyle w:val="p1a"/>
      </w:pPr>
    </w:p>
    <w:p w14:paraId="7B5271DB" w14:textId="6CDABA11" w:rsidR="002E778B" w:rsidRPr="002E778B" w:rsidRDefault="002E778B" w:rsidP="002E778B">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5</w:t>
      </w:r>
      <w:r>
        <w:rPr>
          <w:b/>
        </w:rPr>
        <w:fldChar w:fldCharType="end"/>
      </w:r>
      <w:r>
        <w:rPr>
          <w:b/>
        </w:rPr>
        <w:t>.</w:t>
      </w:r>
      <w:r>
        <w:t xml:space="preserve"> Education and Home</w:t>
      </w:r>
      <w:r w:rsidR="004146CD">
        <w:t xml:space="preserve">owner </w:t>
      </w:r>
      <w:r>
        <w:t>Threshold Comparisons</w:t>
      </w:r>
    </w:p>
    <w:p w14:paraId="41F0B89B" w14:textId="77777777" w:rsidR="00AF2D1C" w:rsidRDefault="00AF2D1C" w:rsidP="00AF2D1C">
      <w:pPr>
        <w:pStyle w:val="p1a"/>
      </w:pPr>
    </w:p>
    <w:p w14:paraId="7C2B2B69" w14:textId="6B3EFAC5" w:rsidR="00B44F28" w:rsidRDefault="00BB082D" w:rsidP="00B44F28">
      <w:pPr>
        <w:pStyle w:val="Heading3"/>
        <w:rPr>
          <w:rStyle w:val="heading30"/>
        </w:rPr>
      </w:pPr>
      <w:r>
        <w:rPr>
          <w:rStyle w:val="heading30"/>
        </w:rPr>
        <w:t>Inter-</w:t>
      </w:r>
      <w:r w:rsidR="00B44F28">
        <w:rPr>
          <w:rStyle w:val="heading30"/>
        </w:rPr>
        <w:t>Group Percentiles</w:t>
      </w:r>
    </w:p>
    <w:p w14:paraId="18E0C8EF" w14:textId="77777777" w:rsidR="00B44F28" w:rsidRPr="00B44F28" w:rsidRDefault="00B44F28" w:rsidP="00B44F28"/>
    <w:p w14:paraId="4AE6DB97" w14:textId="6A273E84" w:rsidR="00AF2D1C" w:rsidRDefault="00BB082D" w:rsidP="00AF2D1C">
      <w:pPr>
        <w:pStyle w:val="p1a"/>
      </w:pPr>
      <w:r>
        <w:t>Inter-</w:t>
      </w:r>
      <w:r w:rsidR="00AF2D1C">
        <w:t xml:space="preserve">Group percentiles are shown to compare how individuals within a particular protected class are treated within the four threshold scenarios. </w:t>
      </w:r>
      <w:r>
        <w:t xml:space="preserve">Figures 6 and 7 shows the </w:t>
      </w:r>
      <w:r w:rsidR="00AF2D1C">
        <w:t xml:space="preserve">percentile value of the threshold graphed. This </w:t>
      </w:r>
      <w:r>
        <w:t xml:space="preserve">visualizes </w:t>
      </w:r>
      <w:r w:rsidR="00AF2D1C">
        <w:t xml:space="preserve">how individual protected classes are treated differently between the threshold scenarios. </w:t>
      </w:r>
    </w:p>
    <w:p w14:paraId="5511DD89" w14:textId="77777777" w:rsidR="00882900" w:rsidRDefault="00882900" w:rsidP="00AF2D1C">
      <w:pPr>
        <w:pStyle w:val="p1a"/>
      </w:pPr>
    </w:p>
    <w:p w14:paraId="6824B123" w14:textId="68DE7784" w:rsidR="002A0138" w:rsidRDefault="00882900" w:rsidP="00AF2D1C">
      <w:pPr>
        <w:pStyle w:val="p1a"/>
      </w:pPr>
      <w:r>
        <w:t>Tables 2 below summarize</w:t>
      </w:r>
      <w:r w:rsidR="003C382B">
        <w:t>s</w:t>
      </w:r>
      <w:r>
        <w:t xml:space="preserve"> the variance within </w:t>
      </w:r>
      <w:r w:rsidR="003C382B">
        <w:t xml:space="preserve">each </w:t>
      </w:r>
      <w:r>
        <w:t>protected class</w:t>
      </w:r>
      <w:r w:rsidR="003C382B">
        <w:t xml:space="preserve"> </w:t>
      </w:r>
      <w:r>
        <w:t xml:space="preserve">and the threshold scenarios. </w:t>
      </w:r>
      <w:r w:rsidR="002A0138">
        <w:t xml:space="preserve">Variance for all levels of education, home ownership, and income dropped when EnergyScore was used. </w:t>
      </w:r>
      <w:r w:rsidR="002A0138">
        <w:t xml:space="preserve">In particular, for </w:t>
      </w:r>
      <w:r w:rsidR="000973CC">
        <w:t>l</w:t>
      </w:r>
      <w:r w:rsidR="003C382B">
        <w:t xml:space="preserve">ow-income earners, variance across all threshold scenarios was 0.08 for FICO and 0.011 for EnergyScore, meaning the variance for Low-income customers across all the maximization thresholds was over seven times greater. Similar results are seen for Black customers. </w:t>
      </w:r>
    </w:p>
    <w:p w14:paraId="527BB68D" w14:textId="77777777" w:rsidR="00823CAA" w:rsidRDefault="00823CAA" w:rsidP="00AF2D1C">
      <w:pPr>
        <w:pStyle w:val="p1a"/>
      </w:pPr>
    </w:p>
    <w:p w14:paraId="6B34AAF0" w14:textId="77777777" w:rsidR="00823CAA" w:rsidRDefault="00823CAA" w:rsidP="00823CAA">
      <w:pPr>
        <w:pStyle w:val="p1a"/>
      </w:pPr>
      <w:r>
        <w:t>These results suggest that the EnergyScore model shows a significant improvement in reducing bias compared to the traditional FICO scores. The lower variance indicates that EnergyScore provides a more consistent treatment across different scenarios for these protected classes, reflecting less disparity and a fairer evaluation.</w:t>
      </w:r>
    </w:p>
    <w:p w14:paraId="5E8EA994" w14:textId="77777777" w:rsidR="00823CAA" w:rsidRDefault="00823CAA" w:rsidP="00823CAA">
      <w:pPr>
        <w:pStyle w:val="p1a"/>
      </w:pPr>
    </w:p>
    <w:p w14:paraId="63601589" w14:textId="220C7E4A" w:rsidR="00823CAA" w:rsidRDefault="00823CAA" w:rsidP="00823CAA">
      <w:pPr>
        <w:pStyle w:val="p1a"/>
      </w:pPr>
      <w:r>
        <w:lastRenderedPageBreak/>
        <w:t>This analysis underscores the effectiveness of the EnergyScore model in minimizing bias across various protected classes. The findings point to the potential of machine learning models to improve fairness when properly optimized for bias reduction. Future work should continue to refine these models and explore additional bias mitigation strategies to further enhance equitable treatment across all protected classes in risk assessment and other predictive models.</w:t>
      </w:r>
    </w:p>
    <w:p w14:paraId="75B1E36B" w14:textId="77777777" w:rsidR="00BB082D" w:rsidRDefault="00BB082D" w:rsidP="00AF2D1C">
      <w:pPr>
        <w:pStyle w:val="p1a"/>
      </w:pPr>
    </w:p>
    <w:p w14:paraId="235AD7AD" w14:textId="77777777" w:rsidR="004146CD" w:rsidRDefault="004146CD" w:rsidP="00AF2D1C">
      <w:pPr>
        <w:pStyle w:val="p1a"/>
      </w:pPr>
    </w:p>
    <w:p w14:paraId="21352B9B" w14:textId="66482CF2" w:rsidR="000077A9" w:rsidRDefault="00D652CF" w:rsidP="00AF2D1C">
      <w:pPr>
        <w:pStyle w:val="p1a"/>
      </w:pPr>
      <w:r>
        <w:rPr>
          <w:noProof/>
        </w:rPr>
        <w:drawing>
          <wp:inline distT="0" distB="0" distL="0" distR="0" wp14:anchorId="79F12819" wp14:editId="13D2CB63">
            <wp:extent cx="4392930" cy="2928620"/>
            <wp:effectExtent l="0" t="0" r="1270" b="5080"/>
            <wp:docPr id="241318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1809" name="Picture 2413180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2930" cy="2928620"/>
                    </a:xfrm>
                    <a:prstGeom prst="rect">
                      <a:avLst/>
                    </a:prstGeom>
                  </pic:spPr>
                </pic:pic>
              </a:graphicData>
            </a:graphic>
          </wp:inline>
        </w:drawing>
      </w:r>
    </w:p>
    <w:p w14:paraId="7A7A41FE" w14:textId="77777777" w:rsidR="004146CD" w:rsidRDefault="004146CD" w:rsidP="00AF2D1C">
      <w:pPr>
        <w:pStyle w:val="p1a"/>
      </w:pPr>
    </w:p>
    <w:p w14:paraId="7B8498CF" w14:textId="1353145E" w:rsidR="004146CD" w:rsidRDefault="004146CD" w:rsidP="004146CD">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6</w:t>
      </w:r>
      <w:r>
        <w:rPr>
          <w:b/>
        </w:rPr>
        <w:fldChar w:fldCharType="end"/>
      </w:r>
      <w:r>
        <w:rPr>
          <w:b/>
        </w:rPr>
        <w:t>.</w:t>
      </w:r>
      <w:r>
        <w:t xml:space="preserve"> Race and Income Threshold Comparisons</w:t>
      </w:r>
    </w:p>
    <w:p w14:paraId="3A37FA2F" w14:textId="77777777" w:rsidR="004146CD" w:rsidRDefault="004146CD" w:rsidP="004146CD"/>
    <w:p w14:paraId="73EC8A81" w14:textId="25B45931" w:rsidR="004146CD" w:rsidRDefault="00D652CF" w:rsidP="004146CD">
      <w:r>
        <w:rPr>
          <w:noProof/>
        </w:rPr>
        <w:lastRenderedPageBreak/>
        <w:drawing>
          <wp:inline distT="0" distB="0" distL="0" distR="0" wp14:anchorId="12CE673F" wp14:editId="2609C41F">
            <wp:extent cx="4793811" cy="3195874"/>
            <wp:effectExtent l="0" t="0" r="0" b="5080"/>
            <wp:docPr id="13091988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98810" name="Picture 13091988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05750" cy="3203833"/>
                    </a:xfrm>
                    <a:prstGeom prst="rect">
                      <a:avLst/>
                    </a:prstGeom>
                  </pic:spPr>
                </pic:pic>
              </a:graphicData>
            </a:graphic>
          </wp:inline>
        </w:drawing>
      </w:r>
    </w:p>
    <w:p w14:paraId="34C42E1D" w14:textId="754109E0" w:rsidR="000077A9" w:rsidRDefault="004146CD" w:rsidP="00F141C5">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7</w:t>
      </w:r>
      <w:r>
        <w:rPr>
          <w:b/>
        </w:rPr>
        <w:fldChar w:fldCharType="end"/>
      </w:r>
      <w:r>
        <w:rPr>
          <w:b/>
        </w:rPr>
        <w:t>.</w:t>
      </w:r>
      <w:r>
        <w:t xml:space="preserve"> Education and Homeowner Threshold Comparisons</w:t>
      </w:r>
    </w:p>
    <w:p w14:paraId="6E94D0D2" w14:textId="77777777" w:rsidR="00E06ABB" w:rsidRDefault="00E06ABB" w:rsidP="00D652CF"/>
    <w:p w14:paraId="53DC3536" w14:textId="77777777" w:rsidR="00D15F96" w:rsidRDefault="00D15F96" w:rsidP="00D652CF"/>
    <w:p w14:paraId="021694BC" w14:textId="77777777" w:rsidR="00D15F96" w:rsidRDefault="00D15F96" w:rsidP="00D652CF"/>
    <w:p w14:paraId="439A85EF" w14:textId="77777777" w:rsidR="00D15F96" w:rsidRDefault="00D15F96" w:rsidP="00D652CF"/>
    <w:p w14:paraId="18799B99" w14:textId="77777777" w:rsidR="00D15F96" w:rsidRDefault="00D15F96" w:rsidP="00D652CF"/>
    <w:p w14:paraId="648E2418" w14:textId="77777777" w:rsidR="00D15F96" w:rsidRDefault="00D15F96" w:rsidP="00D652CF"/>
    <w:tbl>
      <w:tblPr>
        <w:tblW w:w="0" w:type="auto"/>
        <w:tblInd w:w="1420" w:type="dxa"/>
        <w:tblCellMar>
          <w:top w:w="15" w:type="dxa"/>
          <w:left w:w="15" w:type="dxa"/>
          <w:bottom w:w="15" w:type="dxa"/>
          <w:right w:w="15" w:type="dxa"/>
        </w:tblCellMar>
        <w:tblLook w:val="04A0" w:firstRow="1" w:lastRow="0" w:firstColumn="1" w:lastColumn="0" w:noHBand="0" w:noVBand="1"/>
      </w:tblPr>
      <w:tblGrid>
        <w:gridCol w:w="2221"/>
        <w:gridCol w:w="638"/>
        <w:gridCol w:w="1239"/>
      </w:tblGrid>
      <w:tr w:rsidR="00E06ABB" w14:paraId="69B88B74" w14:textId="77777777" w:rsidTr="00E06ABB">
        <w:trPr>
          <w:divId w:val="169299798"/>
          <w:tblHeader/>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14:paraId="5B51BC7A" w14:textId="7D26F26E" w:rsidR="00E06ABB" w:rsidRDefault="00E06ABB">
            <w:pPr>
              <w:rPr>
                <w:rFonts w:ascii="Arial Narrow" w:hAnsi="Arial Narrow" w:cs="Open Sans"/>
                <w:color w:val="808080"/>
              </w:rPr>
            </w:pPr>
            <w:r>
              <w:rPr>
                <w:rFonts w:ascii="Arial Narrow" w:hAnsi="Arial Narrow" w:cs="Open Sans"/>
                <w:color w:val="808080"/>
              </w:rPr>
              <w:t>Group Variance</w:t>
            </w:r>
          </w:p>
        </w:tc>
      </w:tr>
      <w:tr w:rsidR="00E06ABB" w14:paraId="7581AE85" w14:textId="77777777" w:rsidTr="00E06ABB">
        <w:trPr>
          <w:divId w:val="169299798"/>
          <w:tblHeader/>
        </w:trPr>
        <w:tc>
          <w:tcPr>
            <w:tcW w:w="0" w:type="auto"/>
            <w:shd w:val="clear" w:color="auto" w:fill="auto"/>
            <w:tcMar>
              <w:top w:w="0" w:type="dxa"/>
              <w:left w:w="0" w:type="dxa"/>
              <w:bottom w:w="0" w:type="dxa"/>
              <w:right w:w="0" w:type="dxa"/>
            </w:tcMar>
            <w:vAlign w:val="center"/>
            <w:hideMark/>
          </w:tcPr>
          <w:p w14:paraId="67CAD9FF" w14:textId="77777777" w:rsidR="00E06ABB" w:rsidRDefault="00E06ABB">
            <w:pPr>
              <w:rPr>
                <w:rFonts w:ascii="Arial Narrow" w:hAnsi="Arial Narrow" w:cs="Open Sans"/>
                <w:b/>
                <w:bCs/>
                <w:color w:val="444444"/>
              </w:rPr>
            </w:pPr>
            <w:r>
              <w:rPr>
                <w:rFonts w:ascii="Arial Narrow" w:hAnsi="Arial Narrow" w:cs="Open Sans"/>
                <w:b/>
                <w:bCs/>
                <w:color w:val="444444"/>
              </w:rPr>
              <w:t xml:space="preserve">Variable </w:t>
            </w:r>
          </w:p>
        </w:tc>
        <w:tc>
          <w:tcPr>
            <w:tcW w:w="0" w:type="auto"/>
            <w:shd w:val="clear" w:color="auto" w:fill="auto"/>
            <w:tcMar>
              <w:top w:w="0" w:type="dxa"/>
              <w:left w:w="0" w:type="dxa"/>
              <w:bottom w:w="0" w:type="dxa"/>
              <w:right w:w="0" w:type="dxa"/>
            </w:tcMar>
            <w:vAlign w:val="center"/>
            <w:hideMark/>
          </w:tcPr>
          <w:p w14:paraId="6C1A0B50" w14:textId="77777777" w:rsidR="00E06ABB" w:rsidRDefault="00E06ABB">
            <w:pPr>
              <w:jc w:val="right"/>
              <w:rPr>
                <w:rFonts w:ascii="Arial Narrow" w:hAnsi="Arial Narrow" w:cs="Open Sans"/>
                <w:b/>
                <w:bCs/>
                <w:color w:val="444444"/>
              </w:rPr>
            </w:pPr>
            <w:r>
              <w:rPr>
                <w:rFonts w:ascii="Arial Narrow" w:hAnsi="Arial Narrow" w:cs="Open Sans"/>
                <w:b/>
                <w:bCs/>
                <w:color w:val="444444"/>
              </w:rPr>
              <w:t xml:space="preserve">FICO </w:t>
            </w:r>
          </w:p>
        </w:tc>
        <w:tc>
          <w:tcPr>
            <w:tcW w:w="0" w:type="auto"/>
            <w:shd w:val="clear" w:color="auto" w:fill="auto"/>
            <w:tcMar>
              <w:top w:w="0" w:type="dxa"/>
              <w:left w:w="0" w:type="dxa"/>
              <w:bottom w:w="0" w:type="dxa"/>
              <w:right w:w="0" w:type="dxa"/>
            </w:tcMar>
            <w:vAlign w:val="center"/>
            <w:hideMark/>
          </w:tcPr>
          <w:p w14:paraId="3E30E9AF" w14:textId="77777777" w:rsidR="00E06ABB" w:rsidRDefault="00E06ABB">
            <w:pPr>
              <w:jc w:val="right"/>
              <w:rPr>
                <w:rFonts w:ascii="Arial Narrow" w:hAnsi="Arial Narrow" w:cs="Open Sans"/>
                <w:b/>
                <w:bCs/>
                <w:color w:val="444444"/>
              </w:rPr>
            </w:pPr>
            <w:r>
              <w:rPr>
                <w:rFonts w:ascii="Arial Narrow" w:hAnsi="Arial Narrow" w:cs="Open Sans"/>
                <w:b/>
                <w:bCs/>
                <w:color w:val="444444"/>
              </w:rPr>
              <w:t xml:space="preserve">EnergyScore </w:t>
            </w:r>
          </w:p>
        </w:tc>
      </w:tr>
      <w:tr w:rsidR="00E06ABB" w14:paraId="2A9C0089"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0B111D41" w14:textId="77777777" w:rsidR="00E06ABB" w:rsidRDefault="00E06ABB">
            <w:pPr>
              <w:jc w:val="left"/>
              <w:rPr>
                <w:rFonts w:ascii="Arial Narrow" w:hAnsi="Arial Narrow" w:cs="Open Sans"/>
                <w:color w:val="777777"/>
              </w:rPr>
            </w:pPr>
            <w:r>
              <w:rPr>
                <w:rStyle w:val="Strong"/>
                <w:rFonts w:ascii="Arial Narrow" w:hAnsi="Arial Narrow" w:cs="Open Sans"/>
                <w:color w:val="777777"/>
              </w:rPr>
              <w:t>Education</w:t>
            </w:r>
          </w:p>
        </w:tc>
      </w:tr>
      <w:tr w:rsidR="00E06ABB" w14:paraId="5BB31635" w14:textId="77777777" w:rsidTr="00E06ABB">
        <w:trPr>
          <w:divId w:val="169299798"/>
        </w:trPr>
        <w:tc>
          <w:tcPr>
            <w:tcW w:w="0" w:type="auto"/>
            <w:shd w:val="clear" w:color="auto" w:fill="auto"/>
            <w:tcMar>
              <w:top w:w="0" w:type="dxa"/>
              <w:left w:w="480" w:type="dxa"/>
              <w:bottom w:w="0" w:type="dxa"/>
              <w:right w:w="0" w:type="dxa"/>
            </w:tcMar>
            <w:vAlign w:val="center"/>
            <w:hideMark/>
          </w:tcPr>
          <w:p w14:paraId="3DCD4AE8" w14:textId="77777777" w:rsidR="00E06ABB" w:rsidRDefault="00E06ABB">
            <w:pPr>
              <w:rPr>
                <w:rFonts w:ascii="Arial Narrow" w:hAnsi="Arial Narrow" w:cs="Open Sans"/>
                <w:color w:val="777777"/>
              </w:rPr>
            </w:pPr>
            <w:r>
              <w:rPr>
                <w:rFonts w:ascii="Arial Narrow" w:hAnsi="Arial Narrow" w:cs="Open Sans"/>
                <w:color w:val="777777"/>
              </w:rPr>
              <w:t xml:space="preserve">College </w:t>
            </w:r>
          </w:p>
        </w:tc>
        <w:tc>
          <w:tcPr>
            <w:tcW w:w="0" w:type="auto"/>
            <w:shd w:val="clear" w:color="auto" w:fill="auto"/>
            <w:tcMar>
              <w:top w:w="0" w:type="dxa"/>
              <w:left w:w="0" w:type="dxa"/>
              <w:bottom w:w="0" w:type="dxa"/>
              <w:right w:w="0" w:type="dxa"/>
            </w:tcMar>
            <w:vAlign w:val="center"/>
            <w:hideMark/>
          </w:tcPr>
          <w:p w14:paraId="07BF7689" w14:textId="77777777" w:rsidR="00E06ABB" w:rsidRDefault="00E06ABB">
            <w:pPr>
              <w:jc w:val="right"/>
              <w:rPr>
                <w:rFonts w:ascii="Arial Narrow" w:hAnsi="Arial Narrow" w:cs="Open Sans"/>
                <w:color w:val="777777"/>
              </w:rPr>
            </w:pPr>
            <w:r>
              <w:rPr>
                <w:rFonts w:ascii="Arial Narrow" w:hAnsi="Arial Narrow" w:cs="Open Sans"/>
                <w:color w:val="777777"/>
              </w:rPr>
              <w:t xml:space="preserve">0.069 </w:t>
            </w:r>
          </w:p>
        </w:tc>
        <w:tc>
          <w:tcPr>
            <w:tcW w:w="0" w:type="auto"/>
            <w:shd w:val="clear" w:color="auto" w:fill="auto"/>
            <w:tcMar>
              <w:top w:w="0" w:type="dxa"/>
              <w:left w:w="0" w:type="dxa"/>
              <w:bottom w:w="0" w:type="dxa"/>
              <w:right w:w="0" w:type="dxa"/>
            </w:tcMar>
            <w:vAlign w:val="center"/>
            <w:hideMark/>
          </w:tcPr>
          <w:p w14:paraId="5733077C" w14:textId="77777777" w:rsidR="00E06ABB" w:rsidRDefault="00E06ABB">
            <w:pPr>
              <w:jc w:val="right"/>
              <w:rPr>
                <w:rFonts w:ascii="Arial Narrow" w:hAnsi="Arial Narrow" w:cs="Open Sans"/>
                <w:color w:val="777777"/>
              </w:rPr>
            </w:pPr>
            <w:r>
              <w:rPr>
                <w:rFonts w:ascii="Arial Narrow" w:hAnsi="Arial Narrow" w:cs="Open Sans"/>
                <w:color w:val="777777"/>
              </w:rPr>
              <w:t xml:space="preserve">0.019 </w:t>
            </w:r>
          </w:p>
        </w:tc>
      </w:tr>
      <w:tr w:rsidR="00E06ABB" w14:paraId="3F5AB5E4" w14:textId="77777777" w:rsidTr="00E06ABB">
        <w:trPr>
          <w:divId w:val="169299798"/>
        </w:trPr>
        <w:tc>
          <w:tcPr>
            <w:tcW w:w="0" w:type="auto"/>
            <w:shd w:val="clear" w:color="auto" w:fill="auto"/>
            <w:tcMar>
              <w:top w:w="0" w:type="dxa"/>
              <w:left w:w="480" w:type="dxa"/>
              <w:bottom w:w="0" w:type="dxa"/>
              <w:right w:w="0" w:type="dxa"/>
            </w:tcMar>
            <w:vAlign w:val="center"/>
            <w:hideMark/>
          </w:tcPr>
          <w:p w14:paraId="0067DA41" w14:textId="77777777" w:rsidR="00E06ABB" w:rsidRDefault="00E06ABB">
            <w:pPr>
              <w:jc w:val="left"/>
              <w:rPr>
                <w:rFonts w:ascii="Arial Narrow" w:hAnsi="Arial Narrow" w:cs="Open Sans"/>
                <w:color w:val="777777"/>
              </w:rPr>
            </w:pPr>
            <w:r>
              <w:rPr>
                <w:rFonts w:ascii="Arial Narrow" w:hAnsi="Arial Narrow" w:cs="Open Sans"/>
                <w:color w:val="777777"/>
              </w:rPr>
              <w:t xml:space="preserve">Graduate School </w:t>
            </w:r>
          </w:p>
        </w:tc>
        <w:tc>
          <w:tcPr>
            <w:tcW w:w="0" w:type="auto"/>
            <w:shd w:val="clear" w:color="auto" w:fill="auto"/>
            <w:tcMar>
              <w:top w:w="0" w:type="dxa"/>
              <w:left w:w="0" w:type="dxa"/>
              <w:bottom w:w="0" w:type="dxa"/>
              <w:right w:w="0" w:type="dxa"/>
            </w:tcMar>
            <w:vAlign w:val="center"/>
            <w:hideMark/>
          </w:tcPr>
          <w:p w14:paraId="2B2CB1C7" w14:textId="77777777" w:rsidR="00E06ABB" w:rsidRDefault="00E06ABB">
            <w:pPr>
              <w:jc w:val="right"/>
              <w:rPr>
                <w:rFonts w:ascii="Arial Narrow" w:hAnsi="Arial Narrow" w:cs="Open Sans"/>
                <w:color w:val="777777"/>
              </w:rPr>
            </w:pPr>
            <w:r>
              <w:rPr>
                <w:rFonts w:ascii="Arial Narrow" w:hAnsi="Arial Narrow" w:cs="Open Sans"/>
                <w:color w:val="777777"/>
              </w:rPr>
              <w:t xml:space="preserve">0.077 </w:t>
            </w:r>
          </w:p>
        </w:tc>
        <w:tc>
          <w:tcPr>
            <w:tcW w:w="0" w:type="auto"/>
            <w:shd w:val="clear" w:color="auto" w:fill="auto"/>
            <w:tcMar>
              <w:top w:w="0" w:type="dxa"/>
              <w:left w:w="0" w:type="dxa"/>
              <w:bottom w:w="0" w:type="dxa"/>
              <w:right w:w="0" w:type="dxa"/>
            </w:tcMar>
            <w:vAlign w:val="center"/>
            <w:hideMark/>
          </w:tcPr>
          <w:p w14:paraId="6CACE1AE" w14:textId="77777777" w:rsidR="00E06ABB" w:rsidRDefault="00E06ABB">
            <w:pPr>
              <w:jc w:val="right"/>
              <w:rPr>
                <w:rFonts w:ascii="Arial Narrow" w:hAnsi="Arial Narrow" w:cs="Open Sans"/>
                <w:color w:val="777777"/>
              </w:rPr>
            </w:pPr>
            <w:r>
              <w:rPr>
                <w:rFonts w:ascii="Arial Narrow" w:hAnsi="Arial Narrow" w:cs="Open Sans"/>
                <w:color w:val="777777"/>
              </w:rPr>
              <w:t xml:space="preserve">0.013 </w:t>
            </w:r>
          </w:p>
        </w:tc>
      </w:tr>
      <w:tr w:rsidR="00E06ABB" w14:paraId="6E759AD0" w14:textId="77777777" w:rsidTr="00E06ABB">
        <w:trPr>
          <w:divId w:val="169299798"/>
        </w:trPr>
        <w:tc>
          <w:tcPr>
            <w:tcW w:w="0" w:type="auto"/>
            <w:shd w:val="clear" w:color="auto" w:fill="auto"/>
            <w:tcMar>
              <w:top w:w="0" w:type="dxa"/>
              <w:left w:w="480" w:type="dxa"/>
              <w:bottom w:w="0" w:type="dxa"/>
              <w:right w:w="0" w:type="dxa"/>
            </w:tcMar>
            <w:vAlign w:val="center"/>
            <w:hideMark/>
          </w:tcPr>
          <w:p w14:paraId="1600B20A" w14:textId="77777777" w:rsidR="00E06ABB" w:rsidRDefault="00E06ABB">
            <w:pPr>
              <w:jc w:val="left"/>
              <w:rPr>
                <w:rFonts w:ascii="Arial Narrow" w:hAnsi="Arial Narrow" w:cs="Open Sans"/>
                <w:color w:val="777777"/>
              </w:rPr>
            </w:pPr>
            <w:r>
              <w:rPr>
                <w:rFonts w:ascii="Arial Narrow" w:hAnsi="Arial Narrow" w:cs="Open Sans"/>
                <w:color w:val="777777"/>
              </w:rPr>
              <w:t xml:space="preserve">High School </w:t>
            </w:r>
          </w:p>
        </w:tc>
        <w:tc>
          <w:tcPr>
            <w:tcW w:w="0" w:type="auto"/>
            <w:shd w:val="clear" w:color="auto" w:fill="auto"/>
            <w:tcMar>
              <w:top w:w="0" w:type="dxa"/>
              <w:left w:w="0" w:type="dxa"/>
              <w:bottom w:w="0" w:type="dxa"/>
              <w:right w:w="0" w:type="dxa"/>
            </w:tcMar>
            <w:vAlign w:val="center"/>
            <w:hideMark/>
          </w:tcPr>
          <w:p w14:paraId="33BAE4AD" w14:textId="77777777" w:rsidR="00E06ABB" w:rsidRDefault="00E06ABB">
            <w:pPr>
              <w:jc w:val="right"/>
              <w:rPr>
                <w:rFonts w:ascii="Arial Narrow" w:hAnsi="Arial Narrow" w:cs="Open Sans"/>
                <w:color w:val="777777"/>
              </w:rPr>
            </w:pPr>
            <w:r>
              <w:rPr>
                <w:rFonts w:ascii="Arial Narrow" w:hAnsi="Arial Narrow" w:cs="Open Sans"/>
                <w:color w:val="777777"/>
              </w:rPr>
              <w:t xml:space="preserve">0.025 </w:t>
            </w:r>
          </w:p>
        </w:tc>
        <w:tc>
          <w:tcPr>
            <w:tcW w:w="0" w:type="auto"/>
            <w:shd w:val="clear" w:color="auto" w:fill="auto"/>
            <w:tcMar>
              <w:top w:w="0" w:type="dxa"/>
              <w:left w:w="0" w:type="dxa"/>
              <w:bottom w:w="0" w:type="dxa"/>
              <w:right w:w="0" w:type="dxa"/>
            </w:tcMar>
            <w:vAlign w:val="center"/>
            <w:hideMark/>
          </w:tcPr>
          <w:p w14:paraId="23E39FC9" w14:textId="77777777" w:rsidR="00E06ABB" w:rsidRDefault="00E06ABB">
            <w:pPr>
              <w:jc w:val="right"/>
              <w:rPr>
                <w:rFonts w:ascii="Arial Narrow" w:hAnsi="Arial Narrow" w:cs="Open Sans"/>
                <w:color w:val="777777"/>
              </w:rPr>
            </w:pPr>
            <w:r>
              <w:rPr>
                <w:rFonts w:ascii="Arial Narrow" w:hAnsi="Arial Narrow" w:cs="Open Sans"/>
                <w:color w:val="777777"/>
              </w:rPr>
              <w:t xml:space="preserve">0.006 </w:t>
            </w:r>
          </w:p>
        </w:tc>
      </w:tr>
      <w:tr w:rsidR="00E06ABB" w14:paraId="39BB9979" w14:textId="77777777" w:rsidTr="00E06ABB">
        <w:trPr>
          <w:divId w:val="169299798"/>
        </w:trPr>
        <w:tc>
          <w:tcPr>
            <w:tcW w:w="0" w:type="auto"/>
            <w:shd w:val="clear" w:color="auto" w:fill="auto"/>
            <w:tcMar>
              <w:top w:w="0" w:type="dxa"/>
              <w:left w:w="480" w:type="dxa"/>
              <w:bottom w:w="0" w:type="dxa"/>
              <w:right w:w="0" w:type="dxa"/>
            </w:tcMar>
            <w:vAlign w:val="center"/>
            <w:hideMark/>
          </w:tcPr>
          <w:p w14:paraId="30C111A1" w14:textId="77777777" w:rsidR="00E06ABB" w:rsidRDefault="00E06ABB">
            <w:pPr>
              <w:jc w:val="left"/>
              <w:rPr>
                <w:rFonts w:ascii="Arial Narrow" w:hAnsi="Arial Narrow" w:cs="Open Sans"/>
                <w:color w:val="777777"/>
              </w:rPr>
            </w:pPr>
            <w:r>
              <w:rPr>
                <w:rFonts w:ascii="Arial Narrow" w:hAnsi="Arial Narrow" w:cs="Open Sans"/>
                <w:color w:val="777777"/>
              </w:rPr>
              <w:t xml:space="preserve">Vocational/Technical </w:t>
            </w:r>
          </w:p>
        </w:tc>
        <w:tc>
          <w:tcPr>
            <w:tcW w:w="0" w:type="auto"/>
            <w:shd w:val="clear" w:color="auto" w:fill="auto"/>
            <w:tcMar>
              <w:top w:w="0" w:type="dxa"/>
              <w:left w:w="0" w:type="dxa"/>
              <w:bottom w:w="0" w:type="dxa"/>
              <w:right w:w="0" w:type="dxa"/>
            </w:tcMar>
            <w:vAlign w:val="center"/>
            <w:hideMark/>
          </w:tcPr>
          <w:p w14:paraId="79CE0EE6" w14:textId="77777777" w:rsidR="00E06ABB" w:rsidRDefault="00E06ABB">
            <w:pPr>
              <w:jc w:val="right"/>
              <w:rPr>
                <w:rFonts w:ascii="Arial Narrow" w:hAnsi="Arial Narrow" w:cs="Open Sans"/>
                <w:color w:val="777777"/>
              </w:rPr>
            </w:pPr>
            <w:r>
              <w:rPr>
                <w:rFonts w:ascii="Arial Narrow" w:hAnsi="Arial Narrow" w:cs="Open Sans"/>
                <w:color w:val="777777"/>
              </w:rPr>
              <w:t xml:space="preserve">0.072 </w:t>
            </w:r>
          </w:p>
        </w:tc>
        <w:tc>
          <w:tcPr>
            <w:tcW w:w="0" w:type="auto"/>
            <w:shd w:val="clear" w:color="auto" w:fill="auto"/>
            <w:tcMar>
              <w:top w:w="0" w:type="dxa"/>
              <w:left w:w="0" w:type="dxa"/>
              <w:bottom w:w="0" w:type="dxa"/>
              <w:right w:w="0" w:type="dxa"/>
            </w:tcMar>
            <w:vAlign w:val="center"/>
            <w:hideMark/>
          </w:tcPr>
          <w:p w14:paraId="711E7D58" w14:textId="77777777" w:rsidR="00E06ABB" w:rsidRDefault="00E06ABB">
            <w:pPr>
              <w:jc w:val="right"/>
              <w:rPr>
                <w:rFonts w:ascii="Arial Narrow" w:hAnsi="Arial Narrow" w:cs="Open Sans"/>
                <w:color w:val="777777"/>
              </w:rPr>
            </w:pPr>
            <w:r>
              <w:rPr>
                <w:rFonts w:ascii="Arial Narrow" w:hAnsi="Arial Narrow" w:cs="Open Sans"/>
                <w:color w:val="777777"/>
              </w:rPr>
              <w:t xml:space="preserve">0.018 </w:t>
            </w:r>
          </w:p>
        </w:tc>
      </w:tr>
      <w:tr w:rsidR="00E06ABB" w14:paraId="0725D3DC"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6CFB7E36" w14:textId="77777777" w:rsidR="00E06ABB" w:rsidRDefault="00E06ABB">
            <w:pPr>
              <w:jc w:val="left"/>
              <w:rPr>
                <w:rFonts w:ascii="Arial Narrow" w:hAnsi="Arial Narrow" w:cs="Open Sans"/>
                <w:color w:val="777777"/>
              </w:rPr>
            </w:pPr>
            <w:r>
              <w:rPr>
                <w:rStyle w:val="Strong"/>
                <w:rFonts w:ascii="Arial Narrow" w:hAnsi="Arial Narrow" w:cs="Open Sans"/>
                <w:color w:val="777777"/>
              </w:rPr>
              <w:t>Home Ownership</w:t>
            </w:r>
          </w:p>
        </w:tc>
      </w:tr>
      <w:tr w:rsidR="00E06ABB" w14:paraId="142E0112" w14:textId="77777777" w:rsidTr="00E06ABB">
        <w:trPr>
          <w:divId w:val="169299798"/>
        </w:trPr>
        <w:tc>
          <w:tcPr>
            <w:tcW w:w="0" w:type="auto"/>
            <w:shd w:val="clear" w:color="auto" w:fill="auto"/>
            <w:tcMar>
              <w:top w:w="0" w:type="dxa"/>
              <w:left w:w="480" w:type="dxa"/>
              <w:bottom w:w="0" w:type="dxa"/>
              <w:right w:w="0" w:type="dxa"/>
            </w:tcMar>
            <w:vAlign w:val="center"/>
            <w:hideMark/>
          </w:tcPr>
          <w:p w14:paraId="513D4429" w14:textId="77777777" w:rsidR="00E06ABB" w:rsidRDefault="00E06ABB">
            <w:pPr>
              <w:rPr>
                <w:rFonts w:ascii="Arial Narrow" w:hAnsi="Arial Narrow" w:cs="Open Sans"/>
                <w:color w:val="777777"/>
              </w:rPr>
            </w:pPr>
            <w:r>
              <w:rPr>
                <w:rFonts w:ascii="Arial Narrow" w:hAnsi="Arial Narrow" w:cs="Open Sans"/>
                <w:color w:val="777777"/>
              </w:rPr>
              <w:t xml:space="preserve">Own </w:t>
            </w:r>
          </w:p>
        </w:tc>
        <w:tc>
          <w:tcPr>
            <w:tcW w:w="0" w:type="auto"/>
            <w:shd w:val="clear" w:color="auto" w:fill="auto"/>
            <w:tcMar>
              <w:top w:w="0" w:type="dxa"/>
              <w:left w:w="0" w:type="dxa"/>
              <w:bottom w:w="0" w:type="dxa"/>
              <w:right w:w="0" w:type="dxa"/>
            </w:tcMar>
            <w:vAlign w:val="center"/>
            <w:hideMark/>
          </w:tcPr>
          <w:p w14:paraId="366CBD4D" w14:textId="77777777" w:rsidR="00E06ABB" w:rsidRDefault="00E06ABB">
            <w:pPr>
              <w:jc w:val="right"/>
              <w:rPr>
                <w:rFonts w:ascii="Arial Narrow" w:hAnsi="Arial Narrow" w:cs="Open Sans"/>
                <w:color w:val="777777"/>
              </w:rPr>
            </w:pPr>
            <w:r>
              <w:rPr>
                <w:rFonts w:ascii="Arial Narrow" w:hAnsi="Arial Narrow" w:cs="Open Sans"/>
                <w:color w:val="777777"/>
              </w:rPr>
              <w:t xml:space="preserve">0.151 </w:t>
            </w:r>
          </w:p>
        </w:tc>
        <w:tc>
          <w:tcPr>
            <w:tcW w:w="0" w:type="auto"/>
            <w:shd w:val="clear" w:color="auto" w:fill="auto"/>
            <w:tcMar>
              <w:top w:w="0" w:type="dxa"/>
              <w:left w:w="0" w:type="dxa"/>
              <w:bottom w:w="0" w:type="dxa"/>
              <w:right w:w="0" w:type="dxa"/>
            </w:tcMar>
            <w:vAlign w:val="center"/>
            <w:hideMark/>
          </w:tcPr>
          <w:p w14:paraId="04A6F5BD" w14:textId="77777777" w:rsidR="00E06ABB" w:rsidRDefault="00E06ABB">
            <w:pPr>
              <w:jc w:val="right"/>
              <w:rPr>
                <w:rFonts w:ascii="Arial Narrow" w:hAnsi="Arial Narrow" w:cs="Open Sans"/>
                <w:color w:val="777777"/>
              </w:rPr>
            </w:pPr>
            <w:r>
              <w:rPr>
                <w:rFonts w:ascii="Arial Narrow" w:hAnsi="Arial Narrow" w:cs="Open Sans"/>
                <w:color w:val="777777"/>
              </w:rPr>
              <w:t xml:space="preserve">0.024 </w:t>
            </w:r>
          </w:p>
        </w:tc>
      </w:tr>
      <w:tr w:rsidR="00E06ABB" w14:paraId="43C31262" w14:textId="77777777" w:rsidTr="00E06ABB">
        <w:trPr>
          <w:divId w:val="169299798"/>
        </w:trPr>
        <w:tc>
          <w:tcPr>
            <w:tcW w:w="0" w:type="auto"/>
            <w:shd w:val="clear" w:color="auto" w:fill="auto"/>
            <w:tcMar>
              <w:top w:w="0" w:type="dxa"/>
              <w:left w:w="480" w:type="dxa"/>
              <w:bottom w:w="0" w:type="dxa"/>
              <w:right w:w="0" w:type="dxa"/>
            </w:tcMar>
            <w:vAlign w:val="center"/>
            <w:hideMark/>
          </w:tcPr>
          <w:p w14:paraId="43EBC5DD" w14:textId="77777777" w:rsidR="00E06ABB" w:rsidRDefault="00E06ABB">
            <w:pPr>
              <w:jc w:val="left"/>
              <w:rPr>
                <w:rFonts w:ascii="Arial Narrow" w:hAnsi="Arial Narrow" w:cs="Open Sans"/>
                <w:color w:val="777777"/>
              </w:rPr>
            </w:pPr>
            <w:r>
              <w:rPr>
                <w:rFonts w:ascii="Arial Narrow" w:hAnsi="Arial Narrow" w:cs="Open Sans"/>
                <w:color w:val="777777"/>
              </w:rPr>
              <w:t xml:space="preserve">Rent </w:t>
            </w:r>
          </w:p>
        </w:tc>
        <w:tc>
          <w:tcPr>
            <w:tcW w:w="0" w:type="auto"/>
            <w:shd w:val="clear" w:color="auto" w:fill="auto"/>
            <w:tcMar>
              <w:top w:w="0" w:type="dxa"/>
              <w:left w:w="0" w:type="dxa"/>
              <w:bottom w:w="0" w:type="dxa"/>
              <w:right w:w="0" w:type="dxa"/>
            </w:tcMar>
            <w:vAlign w:val="center"/>
            <w:hideMark/>
          </w:tcPr>
          <w:p w14:paraId="47127D36" w14:textId="77777777" w:rsidR="00E06ABB" w:rsidRDefault="00E06ABB">
            <w:pPr>
              <w:jc w:val="right"/>
              <w:rPr>
                <w:rFonts w:ascii="Arial Narrow" w:hAnsi="Arial Narrow" w:cs="Open Sans"/>
                <w:color w:val="777777"/>
              </w:rPr>
            </w:pPr>
            <w:r>
              <w:rPr>
                <w:rFonts w:ascii="Arial Narrow" w:hAnsi="Arial Narrow" w:cs="Open Sans"/>
                <w:color w:val="777777"/>
              </w:rPr>
              <w:t xml:space="preserve">0.046 </w:t>
            </w:r>
          </w:p>
        </w:tc>
        <w:tc>
          <w:tcPr>
            <w:tcW w:w="0" w:type="auto"/>
            <w:shd w:val="clear" w:color="auto" w:fill="auto"/>
            <w:tcMar>
              <w:top w:w="0" w:type="dxa"/>
              <w:left w:w="0" w:type="dxa"/>
              <w:bottom w:w="0" w:type="dxa"/>
              <w:right w:w="0" w:type="dxa"/>
            </w:tcMar>
            <w:vAlign w:val="center"/>
            <w:hideMark/>
          </w:tcPr>
          <w:p w14:paraId="2B5A56DC" w14:textId="77777777" w:rsidR="00E06ABB" w:rsidRDefault="00E06ABB">
            <w:pPr>
              <w:jc w:val="right"/>
              <w:rPr>
                <w:rFonts w:ascii="Arial Narrow" w:hAnsi="Arial Narrow" w:cs="Open Sans"/>
                <w:color w:val="777777"/>
              </w:rPr>
            </w:pPr>
            <w:r>
              <w:rPr>
                <w:rFonts w:ascii="Arial Narrow" w:hAnsi="Arial Narrow" w:cs="Open Sans"/>
                <w:color w:val="777777"/>
              </w:rPr>
              <w:t xml:space="preserve">0.004 </w:t>
            </w:r>
          </w:p>
        </w:tc>
      </w:tr>
      <w:tr w:rsidR="00E06ABB" w14:paraId="31BC5E27"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2DA518FD" w14:textId="77777777" w:rsidR="00E06ABB" w:rsidRDefault="00E06ABB">
            <w:pPr>
              <w:jc w:val="left"/>
              <w:rPr>
                <w:rFonts w:ascii="Arial Narrow" w:hAnsi="Arial Narrow" w:cs="Open Sans"/>
                <w:color w:val="777777"/>
              </w:rPr>
            </w:pPr>
            <w:r>
              <w:rPr>
                <w:rStyle w:val="Strong"/>
                <w:rFonts w:ascii="Arial Narrow" w:hAnsi="Arial Narrow" w:cs="Open Sans"/>
                <w:color w:val="777777"/>
              </w:rPr>
              <w:t>Income</w:t>
            </w:r>
          </w:p>
        </w:tc>
      </w:tr>
      <w:tr w:rsidR="00E06ABB" w14:paraId="2ED347C5" w14:textId="77777777" w:rsidTr="00E06ABB">
        <w:trPr>
          <w:divId w:val="169299798"/>
        </w:trPr>
        <w:tc>
          <w:tcPr>
            <w:tcW w:w="0" w:type="auto"/>
            <w:shd w:val="clear" w:color="auto" w:fill="auto"/>
            <w:tcMar>
              <w:top w:w="0" w:type="dxa"/>
              <w:left w:w="480" w:type="dxa"/>
              <w:bottom w:w="0" w:type="dxa"/>
              <w:right w:w="0" w:type="dxa"/>
            </w:tcMar>
            <w:vAlign w:val="center"/>
            <w:hideMark/>
          </w:tcPr>
          <w:p w14:paraId="2274D982" w14:textId="77777777" w:rsidR="00E06ABB" w:rsidRDefault="00E06ABB">
            <w:pPr>
              <w:rPr>
                <w:rFonts w:ascii="Arial Narrow" w:hAnsi="Arial Narrow" w:cs="Open Sans"/>
                <w:color w:val="777777"/>
              </w:rPr>
            </w:pPr>
            <w:r>
              <w:rPr>
                <w:rFonts w:ascii="Arial Narrow" w:hAnsi="Arial Narrow" w:cs="Open Sans"/>
                <w:color w:val="777777"/>
              </w:rPr>
              <w:t xml:space="preserve">High </w:t>
            </w:r>
          </w:p>
        </w:tc>
        <w:tc>
          <w:tcPr>
            <w:tcW w:w="0" w:type="auto"/>
            <w:shd w:val="clear" w:color="auto" w:fill="auto"/>
            <w:tcMar>
              <w:top w:w="0" w:type="dxa"/>
              <w:left w:w="0" w:type="dxa"/>
              <w:bottom w:w="0" w:type="dxa"/>
              <w:right w:w="0" w:type="dxa"/>
            </w:tcMar>
            <w:vAlign w:val="center"/>
            <w:hideMark/>
          </w:tcPr>
          <w:p w14:paraId="77C913CF" w14:textId="77777777" w:rsidR="00E06ABB" w:rsidRDefault="00E06ABB">
            <w:pPr>
              <w:jc w:val="right"/>
              <w:rPr>
                <w:rFonts w:ascii="Arial Narrow" w:hAnsi="Arial Narrow" w:cs="Open Sans"/>
                <w:color w:val="777777"/>
              </w:rPr>
            </w:pPr>
            <w:r>
              <w:rPr>
                <w:rFonts w:ascii="Arial Narrow" w:hAnsi="Arial Narrow" w:cs="Open Sans"/>
                <w:color w:val="777777"/>
              </w:rPr>
              <w:t xml:space="preserve">0.044 </w:t>
            </w:r>
          </w:p>
        </w:tc>
        <w:tc>
          <w:tcPr>
            <w:tcW w:w="0" w:type="auto"/>
            <w:shd w:val="clear" w:color="auto" w:fill="auto"/>
            <w:tcMar>
              <w:top w:w="0" w:type="dxa"/>
              <w:left w:w="0" w:type="dxa"/>
              <w:bottom w:w="0" w:type="dxa"/>
              <w:right w:w="0" w:type="dxa"/>
            </w:tcMar>
            <w:vAlign w:val="center"/>
            <w:hideMark/>
          </w:tcPr>
          <w:p w14:paraId="7809E641" w14:textId="77777777" w:rsidR="00E06ABB" w:rsidRDefault="00E06ABB">
            <w:pPr>
              <w:jc w:val="right"/>
              <w:rPr>
                <w:rFonts w:ascii="Arial Narrow" w:hAnsi="Arial Narrow" w:cs="Open Sans"/>
                <w:color w:val="777777"/>
              </w:rPr>
            </w:pPr>
            <w:r>
              <w:rPr>
                <w:rFonts w:ascii="Arial Narrow" w:hAnsi="Arial Narrow" w:cs="Open Sans"/>
                <w:color w:val="777777"/>
              </w:rPr>
              <w:t xml:space="preserve">0.005 </w:t>
            </w:r>
          </w:p>
        </w:tc>
      </w:tr>
      <w:tr w:rsidR="00E06ABB" w14:paraId="76552DAD" w14:textId="77777777" w:rsidTr="00E06ABB">
        <w:trPr>
          <w:divId w:val="169299798"/>
        </w:trPr>
        <w:tc>
          <w:tcPr>
            <w:tcW w:w="0" w:type="auto"/>
            <w:shd w:val="clear" w:color="auto" w:fill="auto"/>
            <w:tcMar>
              <w:top w:w="0" w:type="dxa"/>
              <w:left w:w="480" w:type="dxa"/>
              <w:bottom w:w="0" w:type="dxa"/>
              <w:right w:w="0" w:type="dxa"/>
            </w:tcMar>
            <w:vAlign w:val="center"/>
            <w:hideMark/>
          </w:tcPr>
          <w:p w14:paraId="7A7529A7" w14:textId="77777777" w:rsidR="00E06ABB" w:rsidRDefault="00E06ABB">
            <w:pPr>
              <w:jc w:val="left"/>
              <w:rPr>
                <w:rFonts w:ascii="Arial Narrow" w:hAnsi="Arial Narrow" w:cs="Open Sans"/>
                <w:color w:val="777777"/>
              </w:rPr>
            </w:pPr>
            <w:r>
              <w:rPr>
                <w:rFonts w:ascii="Arial Narrow" w:hAnsi="Arial Narrow" w:cs="Open Sans"/>
                <w:color w:val="777777"/>
              </w:rPr>
              <w:t xml:space="preserve">Low </w:t>
            </w:r>
          </w:p>
        </w:tc>
        <w:tc>
          <w:tcPr>
            <w:tcW w:w="0" w:type="auto"/>
            <w:shd w:val="clear" w:color="auto" w:fill="auto"/>
            <w:tcMar>
              <w:top w:w="0" w:type="dxa"/>
              <w:left w:w="0" w:type="dxa"/>
              <w:bottom w:w="0" w:type="dxa"/>
              <w:right w:w="0" w:type="dxa"/>
            </w:tcMar>
            <w:vAlign w:val="center"/>
            <w:hideMark/>
          </w:tcPr>
          <w:p w14:paraId="7BCBEABE" w14:textId="77777777" w:rsidR="00E06ABB" w:rsidRDefault="00E06ABB">
            <w:pPr>
              <w:jc w:val="right"/>
              <w:rPr>
                <w:rFonts w:ascii="Arial Narrow" w:hAnsi="Arial Narrow" w:cs="Open Sans"/>
                <w:color w:val="777777"/>
              </w:rPr>
            </w:pPr>
            <w:r>
              <w:rPr>
                <w:rFonts w:ascii="Arial Narrow" w:hAnsi="Arial Narrow" w:cs="Open Sans"/>
                <w:color w:val="777777"/>
              </w:rPr>
              <w:t xml:space="preserve">0.080 </w:t>
            </w:r>
          </w:p>
        </w:tc>
        <w:tc>
          <w:tcPr>
            <w:tcW w:w="0" w:type="auto"/>
            <w:shd w:val="clear" w:color="auto" w:fill="auto"/>
            <w:tcMar>
              <w:top w:w="0" w:type="dxa"/>
              <w:left w:w="0" w:type="dxa"/>
              <w:bottom w:w="0" w:type="dxa"/>
              <w:right w:w="0" w:type="dxa"/>
            </w:tcMar>
            <w:vAlign w:val="center"/>
            <w:hideMark/>
          </w:tcPr>
          <w:p w14:paraId="58F97D9F" w14:textId="77777777" w:rsidR="00E06ABB" w:rsidRDefault="00E06ABB">
            <w:pPr>
              <w:jc w:val="right"/>
              <w:rPr>
                <w:rFonts w:ascii="Arial Narrow" w:hAnsi="Arial Narrow" w:cs="Open Sans"/>
                <w:color w:val="777777"/>
              </w:rPr>
            </w:pPr>
            <w:r>
              <w:rPr>
                <w:rFonts w:ascii="Arial Narrow" w:hAnsi="Arial Narrow" w:cs="Open Sans"/>
                <w:color w:val="777777"/>
              </w:rPr>
              <w:t xml:space="preserve">0.011 </w:t>
            </w:r>
          </w:p>
        </w:tc>
      </w:tr>
      <w:tr w:rsidR="00E06ABB" w14:paraId="01A6D614" w14:textId="77777777" w:rsidTr="00E06ABB">
        <w:trPr>
          <w:divId w:val="169299798"/>
        </w:trPr>
        <w:tc>
          <w:tcPr>
            <w:tcW w:w="0" w:type="auto"/>
            <w:shd w:val="clear" w:color="auto" w:fill="auto"/>
            <w:tcMar>
              <w:top w:w="0" w:type="dxa"/>
              <w:left w:w="480" w:type="dxa"/>
              <w:bottom w:w="0" w:type="dxa"/>
              <w:right w:w="0" w:type="dxa"/>
            </w:tcMar>
            <w:vAlign w:val="center"/>
            <w:hideMark/>
          </w:tcPr>
          <w:p w14:paraId="3CC63BC9" w14:textId="77777777" w:rsidR="00E06ABB" w:rsidRDefault="00E06ABB">
            <w:pPr>
              <w:jc w:val="left"/>
              <w:rPr>
                <w:rFonts w:ascii="Arial Narrow" w:hAnsi="Arial Narrow" w:cs="Open Sans"/>
                <w:color w:val="777777"/>
              </w:rPr>
            </w:pPr>
            <w:r>
              <w:rPr>
                <w:rFonts w:ascii="Arial Narrow" w:hAnsi="Arial Narrow" w:cs="Open Sans"/>
                <w:color w:val="777777"/>
              </w:rPr>
              <w:t xml:space="preserve">Medium </w:t>
            </w:r>
          </w:p>
        </w:tc>
        <w:tc>
          <w:tcPr>
            <w:tcW w:w="0" w:type="auto"/>
            <w:shd w:val="clear" w:color="auto" w:fill="auto"/>
            <w:tcMar>
              <w:top w:w="0" w:type="dxa"/>
              <w:left w:w="0" w:type="dxa"/>
              <w:bottom w:w="0" w:type="dxa"/>
              <w:right w:w="0" w:type="dxa"/>
            </w:tcMar>
            <w:vAlign w:val="center"/>
            <w:hideMark/>
          </w:tcPr>
          <w:p w14:paraId="1BF0641D" w14:textId="77777777" w:rsidR="00E06ABB" w:rsidRDefault="00E06ABB">
            <w:pPr>
              <w:jc w:val="right"/>
              <w:rPr>
                <w:rFonts w:ascii="Arial Narrow" w:hAnsi="Arial Narrow" w:cs="Open Sans"/>
                <w:color w:val="777777"/>
              </w:rPr>
            </w:pPr>
            <w:r>
              <w:rPr>
                <w:rFonts w:ascii="Arial Narrow" w:hAnsi="Arial Narrow" w:cs="Open Sans"/>
                <w:color w:val="777777"/>
              </w:rPr>
              <w:t xml:space="preserve">0.010 </w:t>
            </w:r>
          </w:p>
        </w:tc>
        <w:tc>
          <w:tcPr>
            <w:tcW w:w="0" w:type="auto"/>
            <w:shd w:val="clear" w:color="auto" w:fill="auto"/>
            <w:tcMar>
              <w:top w:w="0" w:type="dxa"/>
              <w:left w:w="0" w:type="dxa"/>
              <w:bottom w:w="0" w:type="dxa"/>
              <w:right w:w="0" w:type="dxa"/>
            </w:tcMar>
            <w:vAlign w:val="center"/>
            <w:hideMark/>
          </w:tcPr>
          <w:p w14:paraId="703D7B0F" w14:textId="77777777" w:rsidR="00E06ABB" w:rsidRDefault="00E06ABB">
            <w:pPr>
              <w:jc w:val="right"/>
              <w:rPr>
                <w:rFonts w:ascii="Arial Narrow" w:hAnsi="Arial Narrow" w:cs="Open Sans"/>
                <w:color w:val="777777"/>
              </w:rPr>
            </w:pPr>
            <w:r>
              <w:rPr>
                <w:rFonts w:ascii="Arial Narrow" w:hAnsi="Arial Narrow" w:cs="Open Sans"/>
                <w:color w:val="777777"/>
              </w:rPr>
              <w:t xml:space="preserve">0.006 </w:t>
            </w:r>
          </w:p>
        </w:tc>
      </w:tr>
      <w:tr w:rsidR="00E06ABB" w14:paraId="677B6CBA"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786F78D5" w14:textId="77777777" w:rsidR="00E06ABB" w:rsidRDefault="00E06ABB">
            <w:pPr>
              <w:jc w:val="left"/>
              <w:rPr>
                <w:rFonts w:ascii="Arial Narrow" w:hAnsi="Arial Narrow" w:cs="Open Sans"/>
                <w:color w:val="777777"/>
              </w:rPr>
            </w:pPr>
            <w:r>
              <w:rPr>
                <w:rStyle w:val="Strong"/>
                <w:rFonts w:ascii="Arial Narrow" w:hAnsi="Arial Narrow" w:cs="Open Sans"/>
                <w:color w:val="777777"/>
              </w:rPr>
              <w:t>Race</w:t>
            </w:r>
          </w:p>
        </w:tc>
      </w:tr>
      <w:tr w:rsidR="00E06ABB" w14:paraId="1983561A" w14:textId="77777777" w:rsidTr="00E06ABB">
        <w:trPr>
          <w:divId w:val="169299798"/>
        </w:trPr>
        <w:tc>
          <w:tcPr>
            <w:tcW w:w="0" w:type="auto"/>
            <w:shd w:val="clear" w:color="auto" w:fill="auto"/>
            <w:tcMar>
              <w:top w:w="0" w:type="dxa"/>
              <w:left w:w="480" w:type="dxa"/>
              <w:bottom w:w="0" w:type="dxa"/>
              <w:right w:w="0" w:type="dxa"/>
            </w:tcMar>
            <w:vAlign w:val="center"/>
            <w:hideMark/>
          </w:tcPr>
          <w:p w14:paraId="05070FCA" w14:textId="77777777" w:rsidR="00E06ABB" w:rsidRDefault="00E06ABB">
            <w:pPr>
              <w:rPr>
                <w:rFonts w:ascii="Arial Narrow" w:hAnsi="Arial Narrow" w:cs="Open Sans"/>
                <w:color w:val="777777"/>
              </w:rPr>
            </w:pPr>
            <w:r>
              <w:rPr>
                <w:rFonts w:ascii="Arial Narrow" w:hAnsi="Arial Narrow" w:cs="Open Sans"/>
                <w:color w:val="777777"/>
              </w:rPr>
              <w:lastRenderedPageBreak/>
              <w:t xml:space="preserve">Asian </w:t>
            </w:r>
          </w:p>
        </w:tc>
        <w:tc>
          <w:tcPr>
            <w:tcW w:w="0" w:type="auto"/>
            <w:shd w:val="clear" w:color="auto" w:fill="auto"/>
            <w:tcMar>
              <w:top w:w="0" w:type="dxa"/>
              <w:left w:w="0" w:type="dxa"/>
              <w:bottom w:w="0" w:type="dxa"/>
              <w:right w:w="0" w:type="dxa"/>
            </w:tcMar>
            <w:vAlign w:val="center"/>
            <w:hideMark/>
          </w:tcPr>
          <w:p w14:paraId="7AF5614A" w14:textId="77777777" w:rsidR="00E06ABB" w:rsidRDefault="00E06ABB">
            <w:pPr>
              <w:jc w:val="right"/>
              <w:rPr>
                <w:rFonts w:ascii="Arial Narrow" w:hAnsi="Arial Narrow" w:cs="Open Sans"/>
                <w:color w:val="777777"/>
              </w:rPr>
            </w:pPr>
            <w:r>
              <w:rPr>
                <w:rFonts w:ascii="Arial Narrow" w:hAnsi="Arial Narrow" w:cs="Open Sans"/>
                <w:color w:val="777777"/>
              </w:rPr>
              <w:t xml:space="preserve">0.038 </w:t>
            </w:r>
          </w:p>
        </w:tc>
        <w:tc>
          <w:tcPr>
            <w:tcW w:w="0" w:type="auto"/>
            <w:shd w:val="clear" w:color="auto" w:fill="auto"/>
            <w:tcMar>
              <w:top w:w="0" w:type="dxa"/>
              <w:left w:w="0" w:type="dxa"/>
              <w:bottom w:w="0" w:type="dxa"/>
              <w:right w:w="0" w:type="dxa"/>
            </w:tcMar>
            <w:vAlign w:val="center"/>
            <w:hideMark/>
          </w:tcPr>
          <w:p w14:paraId="32A25AD4" w14:textId="77777777" w:rsidR="00E06ABB" w:rsidRDefault="00E06ABB">
            <w:pPr>
              <w:jc w:val="right"/>
              <w:rPr>
                <w:rFonts w:ascii="Arial Narrow" w:hAnsi="Arial Narrow" w:cs="Open Sans"/>
                <w:color w:val="777777"/>
              </w:rPr>
            </w:pPr>
            <w:r>
              <w:rPr>
                <w:rFonts w:ascii="Arial Narrow" w:hAnsi="Arial Narrow" w:cs="Open Sans"/>
                <w:color w:val="777777"/>
              </w:rPr>
              <w:t xml:space="preserve">0.027 </w:t>
            </w:r>
          </w:p>
        </w:tc>
      </w:tr>
      <w:tr w:rsidR="00E06ABB" w14:paraId="2AEC5252" w14:textId="77777777" w:rsidTr="00E06ABB">
        <w:trPr>
          <w:divId w:val="169299798"/>
        </w:trPr>
        <w:tc>
          <w:tcPr>
            <w:tcW w:w="0" w:type="auto"/>
            <w:shd w:val="clear" w:color="auto" w:fill="auto"/>
            <w:tcMar>
              <w:top w:w="0" w:type="dxa"/>
              <w:left w:w="480" w:type="dxa"/>
              <w:bottom w:w="0" w:type="dxa"/>
              <w:right w:w="0" w:type="dxa"/>
            </w:tcMar>
            <w:vAlign w:val="center"/>
            <w:hideMark/>
          </w:tcPr>
          <w:p w14:paraId="5E8AEA2D" w14:textId="77777777" w:rsidR="00E06ABB" w:rsidRDefault="00E06ABB">
            <w:pPr>
              <w:jc w:val="left"/>
              <w:rPr>
                <w:rFonts w:ascii="Arial Narrow" w:hAnsi="Arial Narrow" w:cs="Open Sans"/>
                <w:color w:val="777777"/>
              </w:rPr>
            </w:pPr>
            <w:r>
              <w:rPr>
                <w:rFonts w:ascii="Arial Narrow" w:hAnsi="Arial Narrow" w:cs="Open Sans"/>
                <w:color w:val="777777"/>
              </w:rPr>
              <w:t xml:space="preserve">Black </w:t>
            </w:r>
          </w:p>
        </w:tc>
        <w:tc>
          <w:tcPr>
            <w:tcW w:w="0" w:type="auto"/>
            <w:shd w:val="clear" w:color="auto" w:fill="auto"/>
            <w:tcMar>
              <w:top w:w="0" w:type="dxa"/>
              <w:left w:w="0" w:type="dxa"/>
              <w:bottom w:w="0" w:type="dxa"/>
              <w:right w:w="0" w:type="dxa"/>
            </w:tcMar>
            <w:vAlign w:val="center"/>
            <w:hideMark/>
          </w:tcPr>
          <w:p w14:paraId="1246AC2C" w14:textId="77777777" w:rsidR="00E06ABB" w:rsidRDefault="00E06ABB">
            <w:pPr>
              <w:jc w:val="right"/>
              <w:rPr>
                <w:rFonts w:ascii="Arial Narrow" w:hAnsi="Arial Narrow" w:cs="Open Sans"/>
                <w:color w:val="777777"/>
              </w:rPr>
            </w:pPr>
            <w:r>
              <w:rPr>
                <w:rFonts w:ascii="Arial Narrow" w:hAnsi="Arial Narrow" w:cs="Open Sans"/>
                <w:color w:val="777777"/>
              </w:rPr>
              <w:t xml:space="preserve">0.028 </w:t>
            </w:r>
          </w:p>
        </w:tc>
        <w:tc>
          <w:tcPr>
            <w:tcW w:w="0" w:type="auto"/>
            <w:shd w:val="clear" w:color="auto" w:fill="auto"/>
            <w:tcMar>
              <w:top w:w="0" w:type="dxa"/>
              <w:left w:w="0" w:type="dxa"/>
              <w:bottom w:w="0" w:type="dxa"/>
              <w:right w:w="0" w:type="dxa"/>
            </w:tcMar>
            <w:vAlign w:val="center"/>
            <w:hideMark/>
          </w:tcPr>
          <w:p w14:paraId="3C47D612" w14:textId="77777777" w:rsidR="00E06ABB" w:rsidRDefault="00E06ABB">
            <w:pPr>
              <w:jc w:val="right"/>
              <w:rPr>
                <w:rFonts w:ascii="Arial Narrow" w:hAnsi="Arial Narrow" w:cs="Open Sans"/>
                <w:color w:val="777777"/>
              </w:rPr>
            </w:pPr>
            <w:r>
              <w:rPr>
                <w:rFonts w:ascii="Arial Narrow" w:hAnsi="Arial Narrow" w:cs="Open Sans"/>
                <w:color w:val="777777"/>
              </w:rPr>
              <w:t xml:space="preserve">0.004 </w:t>
            </w:r>
          </w:p>
        </w:tc>
      </w:tr>
      <w:tr w:rsidR="00E06ABB" w14:paraId="10633C02" w14:textId="77777777" w:rsidTr="00E06ABB">
        <w:trPr>
          <w:divId w:val="169299798"/>
        </w:trPr>
        <w:tc>
          <w:tcPr>
            <w:tcW w:w="0" w:type="auto"/>
            <w:shd w:val="clear" w:color="auto" w:fill="auto"/>
            <w:tcMar>
              <w:top w:w="0" w:type="dxa"/>
              <w:left w:w="480" w:type="dxa"/>
              <w:bottom w:w="0" w:type="dxa"/>
              <w:right w:w="0" w:type="dxa"/>
            </w:tcMar>
            <w:vAlign w:val="center"/>
            <w:hideMark/>
          </w:tcPr>
          <w:p w14:paraId="471EEF34" w14:textId="77777777" w:rsidR="00E06ABB" w:rsidRDefault="00E06ABB">
            <w:pPr>
              <w:jc w:val="left"/>
              <w:rPr>
                <w:rFonts w:ascii="Arial Narrow" w:hAnsi="Arial Narrow" w:cs="Open Sans"/>
                <w:color w:val="777777"/>
              </w:rPr>
            </w:pPr>
            <w:r>
              <w:rPr>
                <w:rFonts w:ascii="Arial Narrow" w:hAnsi="Arial Narrow" w:cs="Open Sans"/>
                <w:color w:val="777777"/>
              </w:rPr>
              <w:t xml:space="preserve">Hispanic </w:t>
            </w:r>
          </w:p>
        </w:tc>
        <w:tc>
          <w:tcPr>
            <w:tcW w:w="0" w:type="auto"/>
            <w:shd w:val="clear" w:color="auto" w:fill="auto"/>
            <w:tcMar>
              <w:top w:w="0" w:type="dxa"/>
              <w:left w:w="0" w:type="dxa"/>
              <w:bottom w:w="0" w:type="dxa"/>
              <w:right w:w="0" w:type="dxa"/>
            </w:tcMar>
            <w:vAlign w:val="center"/>
            <w:hideMark/>
          </w:tcPr>
          <w:p w14:paraId="08CB6873" w14:textId="77777777" w:rsidR="00E06ABB" w:rsidRDefault="00E06ABB">
            <w:pPr>
              <w:jc w:val="right"/>
              <w:rPr>
                <w:rFonts w:ascii="Arial Narrow" w:hAnsi="Arial Narrow" w:cs="Open Sans"/>
                <w:color w:val="777777"/>
              </w:rPr>
            </w:pPr>
            <w:r>
              <w:rPr>
                <w:rFonts w:ascii="Arial Narrow" w:hAnsi="Arial Narrow" w:cs="Open Sans"/>
                <w:color w:val="777777"/>
              </w:rPr>
              <w:t xml:space="preserve">0.011 </w:t>
            </w:r>
          </w:p>
        </w:tc>
        <w:tc>
          <w:tcPr>
            <w:tcW w:w="0" w:type="auto"/>
            <w:shd w:val="clear" w:color="auto" w:fill="auto"/>
            <w:tcMar>
              <w:top w:w="0" w:type="dxa"/>
              <w:left w:w="0" w:type="dxa"/>
              <w:bottom w:w="0" w:type="dxa"/>
              <w:right w:w="0" w:type="dxa"/>
            </w:tcMar>
            <w:vAlign w:val="center"/>
            <w:hideMark/>
          </w:tcPr>
          <w:p w14:paraId="7E72ACFC" w14:textId="77777777" w:rsidR="00E06ABB" w:rsidRDefault="00E06ABB">
            <w:pPr>
              <w:jc w:val="right"/>
              <w:rPr>
                <w:rFonts w:ascii="Arial Narrow" w:hAnsi="Arial Narrow" w:cs="Open Sans"/>
                <w:color w:val="777777"/>
              </w:rPr>
            </w:pPr>
            <w:r>
              <w:rPr>
                <w:rFonts w:ascii="Arial Narrow" w:hAnsi="Arial Narrow" w:cs="Open Sans"/>
                <w:color w:val="777777"/>
              </w:rPr>
              <w:t xml:space="preserve">0.023 </w:t>
            </w:r>
          </w:p>
        </w:tc>
      </w:tr>
      <w:tr w:rsidR="00E06ABB" w14:paraId="7FE3DA32" w14:textId="77777777" w:rsidTr="00E06ABB">
        <w:trPr>
          <w:divId w:val="169299798"/>
        </w:trPr>
        <w:tc>
          <w:tcPr>
            <w:tcW w:w="0" w:type="auto"/>
            <w:shd w:val="clear" w:color="auto" w:fill="auto"/>
            <w:tcMar>
              <w:top w:w="0" w:type="dxa"/>
              <w:left w:w="480" w:type="dxa"/>
              <w:bottom w:w="0" w:type="dxa"/>
              <w:right w:w="0" w:type="dxa"/>
            </w:tcMar>
            <w:vAlign w:val="center"/>
            <w:hideMark/>
          </w:tcPr>
          <w:p w14:paraId="4A01C0F6" w14:textId="77777777" w:rsidR="00E06ABB" w:rsidRDefault="00E06ABB">
            <w:pPr>
              <w:jc w:val="left"/>
              <w:rPr>
                <w:rFonts w:ascii="Arial Narrow" w:hAnsi="Arial Narrow" w:cs="Open Sans"/>
                <w:color w:val="777777"/>
              </w:rPr>
            </w:pPr>
            <w:r>
              <w:rPr>
                <w:rFonts w:ascii="Arial Narrow" w:hAnsi="Arial Narrow" w:cs="Open Sans"/>
                <w:color w:val="777777"/>
              </w:rPr>
              <w:t xml:space="preserve">White </w:t>
            </w:r>
          </w:p>
        </w:tc>
        <w:tc>
          <w:tcPr>
            <w:tcW w:w="0" w:type="auto"/>
            <w:shd w:val="clear" w:color="auto" w:fill="auto"/>
            <w:tcMar>
              <w:top w:w="0" w:type="dxa"/>
              <w:left w:w="0" w:type="dxa"/>
              <w:bottom w:w="0" w:type="dxa"/>
              <w:right w:w="0" w:type="dxa"/>
            </w:tcMar>
            <w:vAlign w:val="center"/>
            <w:hideMark/>
          </w:tcPr>
          <w:p w14:paraId="40548BF6" w14:textId="77777777" w:rsidR="00E06ABB" w:rsidRDefault="00E06ABB">
            <w:pPr>
              <w:jc w:val="right"/>
              <w:rPr>
                <w:rFonts w:ascii="Arial Narrow" w:hAnsi="Arial Narrow" w:cs="Open Sans"/>
                <w:color w:val="777777"/>
              </w:rPr>
            </w:pPr>
            <w:r>
              <w:rPr>
                <w:rFonts w:ascii="Arial Narrow" w:hAnsi="Arial Narrow" w:cs="Open Sans"/>
                <w:color w:val="777777"/>
              </w:rPr>
              <w:t xml:space="preserve">0.013 </w:t>
            </w:r>
          </w:p>
        </w:tc>
        <w:tc>
          <w:tcPr>
            <w:tcW w:w="0" w:type="auto"/>
            <w:shd w:val="clear" w:color="auto" w:fill="auto"/>
            <w:tcMar>
              <w:top w:w="0" w:type="dxa"/>
              <w:left w:w="0" w:type="dxa"/>
              <w:bottom w:w="0" w:type="dxa"/>
              <w:right w:w="0" w:type="dxa"/>
            </w:tcMar>
            <w:vAlign w:val="center"/>
            <w:hideMark/>
          </w:tcPr>
          <w:p w14:paraId="068A3A1B" w14:textId="77777777" w:rsidR="00E06ABB" w:rsidRDefault="00E06ABB">
            <w:pPr>
              <w:jc w:val="right"/>
              <w:rPr>
                <w:rFonts w:ascii="Arial Narrow" w:hAnsi="Arial Narrow" w:cs="Open Sans"/>
                <w:color w:val="777777"/>
              </w:rPr>
            </w:pPr>
            <w:r>
              <w:rPr>
                <w:rFonts w:ascii="Arial Narrow" w:hAnsi="Arial Narrow" w:cs="Open Sans"/>
                <w:color w:val="777777"/>
              </w:rPr>
              <w:t xml:space="preserve">0.001 </w:t>
            </w:r>
          </w:p>
        </w:tc>
      </w:tr>
    </w:tbl>
    <w:p w14:paraId="6336BFCD" w14:textId="77777777" w:rsidR="00E06ABB" w:rsidRDefault="00E06ABB">
      <w:pPr>
        <w:divId w:val="169299798"/>
      </w:pPr>
    </w:p>
    <w:p w14:paraId="728D51D1" w14:textId="77777777" w:rsidR="00E06ABB" w:rsidRDefault="00E06ABB" w:rsidP="00D652CF"/>
    <w:p w14:paraId="40A3A2FC" w14:textId="1D16577C" w:rsidR="00E06ABB" w:rsidRDefault="00E06ABB" w:rsidP="00E06ABB">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2</w:t>
      </w:r>
      <w:r>
        <w:rPr>
          <w:b/>
        </w:rPr>
        <w:fldChar w:fldCharType="end"/>
      </w:r>
      <w:r>
        <w:rPr>
          <w:b/>
        </w:rPr>
        <w:t>.</w:t>
      </w:r>
      <w:r>
        <w:t xml:space="preserve"> Group Va</w:t>
      </w:r>
      <w:proofErr w:type="spellStart"/>
      <w:r>
        <w:t>riance</w:t>
      </w:r>
      <w:proofErr w:type="spellEnd"/>
      <w:r>
        <w:t xml:space="preserve"> </w:t>
      </w:r>
    </w:p>
    <w:p w14:paraId="044CCDE1" w14:textId="77777777" w:rsidR="000F0227" w:rsidRDefault="000F0227" w:rsidP="000F0227">
      <w:pPr>
        <w:rPr>
          <w:lang w:val="de-DE"/>
        </w:rPr>
      </w:pPr>
    </w:p>
    <w:p w14:paraId="2931D232" w14:textId="77777777" w:rsidR="000973CC" w:rsidRDefault="000973CC" w:rsidP="000973CC">
      <w:pPr>
        <w:pStyle w:val="Heading3"/>
        <w:rPr>
          <w:rStyle w:val="heading30"/>
        </w:rPr>
      </w:pPr>
      <w:r>
        <w:rPr>
          <w:rStyle w:val="heading30"/>
        </w:rPr>
        <w:t>False Positive Curves</w:t>
      </w:r>
    </w:p>
    <w:p w14:paraId="775986CD" w14:textId="77777777" w:rsidR="000973CC" w:rsidRPr="003178EE" w:rsidRDefault="000973CC" w:rsidP="000973CC"/>
    <w:p w14:paraId="7E65E570" w14:textId="261802B3" w:rsidR="000973CC" w:rsidRDefault="000973CC" w:rsidP="000973CC">
      <w:r>
        <w:t xml:space="preserve">Finally, the false positive curves are plotted. These visualize the predictive accuracy of the respective </w:t>
      </w:r>
      <w:r w:rsidRPr="001E2EE4">
        <w:t>metric</w:t>
      </w:r>
      <w:r>
        <w:t xml:space="preserve">, particularly relevant here for organizations extending credit opportunities, as these examples represent errant approvals with associated losses. </w:t>
      </w:r>
      <w:r w:rsidR="00147FA1">
        <w:t xml:space="preserve">We include these results to dissuade the notion that while EnergyScore may result in lower degrees of variant thresholds as seen previously, the overall performance of the prediction may be inferior to traditional credit scores. </w:t>
      </w:r>
    </w:p>
    <w:p w14:paraId="261FE6EF" w14:textId="77777777" w:rsidR="000973CC" w:rsidRDefault="000973CC" w:rsidP="000973CC">
      <w:pPr>
        <w:pStyle w:val="p1a"/>
      </w:pPr>
    </w:p>
    <w:p w14:paraId="30EB3238" w14:textId="77777777" w:rsidR="000973CC" w:rsidRDefault="000973CC" w:rsidP="000973CC">
      <w:pPr>
        <w:pStyle w:val="figurecaption"/>
      </w:pPr>
      <w:r w:rsidRPr="003A7E6A">
        <w:rPr>
          <w:noProof/>
        </w:rPr>
        <w:drawing>
          <wp:inline distT="0" distB="0" distL="0" distR="0" wp14:anchorId="43ADA4BA" wp14:editId="77953ECC">
            <wp:extent cx="4381500" cy="3289300"/>
            <wp:effectExtent l="0" t="0" r="0" b="0"/>
            <wp:docPr id="1017868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6847" name="Picture 101786847"/>
                    <pic:cNvPicPr/>
                  </pic:nvPicPr>
                  <pic:blipFill>
                    <a:blip r:embed="rId14">
                      <a:extLst>
                        <a:ext uri="{28A0092B-C50C-407E-A947-70E740481C1C}">
                          <a14:useLocalDpi xmlns:a14="http://schemas.microsoft.com/office/drawing/2010/main" val="0"/>
                        </a:ext>
                      </a:extLst>
                    </a:blip>
                    <a:stretch>
                      <a:fillRect/>
                    </a:stretch>
                  </pic:blipFill>
                  <pic:spPr>
                    <a:xfrm>
                      <a:off x="0" y="0"/>
                      <a:ext cx="4381500" cy="3289300"/>
                    </a:xfrm>
                    <a:prstGeom prst="rect">
                      <a:avLst/>
                    </a:prstGeom>
                  </pic:spPr>
                </pic:pic>
              </a:graphicData>
            </a:graphic>
          </wp:inline>
        </w:drawing>
      </w:r>
    </w:p>
    <w:p w14:paraId="49F26E8D" w14:textId="77777777" w:rsidR="000973CC" w:rsidRDefault="000973CC" w:rsidP="000973CC">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Pr>
          <w:b/>
          <w:noProof/>
        </w:rPr>
        <w:t>8</w:t>
      </w:r>
      <w:r>
        <w:rPr>
          <w:b/>
        </w:rPr>
        <w:fldChar w:fldCharType="end"/>
      </w:r>
      <w:r>
        <w:rPr>
          <w:b/>
        </w:rPr>
        <w:t>.</w:t>
      </w:r>
      <w:r>
        <w:t xml:space="preserve"> Race and Income False Positive Comparison</w:t>
      </w:r>
    </w:p>
    <w:p w14:paraId="7487F9C0" w14:textId="77777777" w:rsidR="000973CC" w:rsidRDefault="000973CC" w:rsidP="000973CC"/>
    <w:p w14:paraId="1F85357C" w14:textId="77777777" w:rsidR="000973CC" w:rsidRPr="00E15930" w:rsidRDefault="000973CC" w:rsidP="000973CC"/>
    <w:p w14:paraId="54619DC1" w14:textId="77777777" w:rsidR="000973CC" w:rsidRDefault="000973CC" w:rsidP="000973CC"/>
    <w:p w14:paraId="3FEDC86F" w14:textId="77777777" w:rsidR="000973CC" w:rsidRDefault="000973CC" w:rsidP="000973CC">
      <w:r>
        <w:rPr>
          <w:noProof/>
        </w:rPr>
        <w:drawing>
          <wp:inline distT="0" distB="0" distL="0" distR="0" wp14:anchorId="33970009" wp14:editId="42E930B6">
            <wp:extent cx="4381500" cy="3289300"/>
            <wp:effectExtent l="0" t="0" r="0" b="0"/>
            <wp:docPr id="11096928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92849" name="Picture 1109692849"/>
                    <pic:cNvPicPr/>
                  </pic:nvPicPr>
                  <pic:blipFill>
                    <a:blip r:embed="rId15">
                      <a:extLst>
                        <a:ext uri="{28A0092B-C50C-407E-A947-70E740481C1C}">
                          <a14:useLocalDpi xmlns:a14="http://schemas.microsoft.com/office/drawing/2010/main" val="0"/>
                        </a:ext>
                      </a:extLst>
                    </a:blip>
                    <a:stretch>
                      <a:fillRect/>
                    </a:stretch>
                  </pic:blipFill>
                  <pic:spPr>
                    <a:xfrm>
                      <a:off x="0" y="0"/>
                      <a:ext cx="4381500" cy="3289300"/>
                    </a:xfrm>
                    <a:prstGeom prst="rect">
                      <a:avLst/>
                    </a:prstGeom>
                  </pic:spPr>
                </pic:pic>
              </a:graphicData>
            </a:graphic>
          </wp:inline>
        </w:drawing>
      </w:r>
    </w:p>
    <w:p w14:paraId="202F2391" w14:textId="77777777" w:rsidR="000973CC" w:rsidRDefault="000973CC" w:rsidP="000973CC"/>
    <w:p w14:paraId="4B7431F7" w14:textId="77777777" w:rsidR="000973CC" w:rsidRPr="00051A6C" w:rsidRDefault="000973CC" w:rsidP="000973CC">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9</w:t>
      </w:r>
      <w:r>
        <w:rPr>
          <w:b/>
        </w:rPr>
        <w:fldChar w:fldCharType="end"/>
      </w:r>
      <w:r>
        <w:rPr>
          <w:b/>
        </w:rPr>
        <w:t>.</w:t>
      </w:r>
      <w:r>
        <w:t xml:space="preserve"> Education and Homeowner False Positive Comparison</w:t>
      </w:r>
    </w:p>
    <w:p w14:paraId="37492B0E" w14:textId="3BAFF63C" w:rsidR="000F0227" w:rsidRPr="000F0227" w:rsidRDefault="000F0227" w:rsidP="000F0227">
      <w:pPr>
        <w:rPr>
          <w:lang w:val="de-DE"/>
        </w:rPr>
      </w:pPr>
    </w:p>
    <w:p w14:paraId="48C70056" w14:textId="450CF838" w:rsidR="00AF2D1C" w:rsidRDefault="00AF2D1C" w:rsidP="001E2EE4">
      <w:pPr>
        <w:pStyle w:val="heading1"/>
      </w:pPr>
      <w:r>
        <w:t>Conclusion</w:t>
      </w:r>
    </w:p>
    <w:p w14:paraId="20288C92" w14:textId="534C4127" w:rsidR="00D947E0" w:rsidRDefault="00721123" w:rsidP="00FC4315">
      <w:pPr>
        <w:pStyle w:val="NormalWeb"/>
        <w:rPr>
          <w:sz w:val="20"/>
          <w:szCs w:val="20"/>
          <w:lang w:eastAsia="de-DE"/>
        </w:rPr>
      </w:pPr>
      <w:r w:rsidRPr="00721123">
        <w:rPr>
          <w:sz w:val="20"/>
          <w:szCs w:val="20"/>
          <w:lang w:eastAsia="de-DE"/>
        </w:rPr>
        <w:t xml:space="preserve">In summary, this study underscores the critical necessity of </w:t>
      </w:r>
      <w:r w:rsidR="00BB77B9">
        <w:rPr>
          <w:sz w:val="20"/>
          <w:szCs w:val="20"/>
          <w:lang w:eastAsia="de-DE"/>
        </w:rPr>
        <w:t>quantifying</w:t>
      </w:r>
      <w:r w:rsidRPr="00721123">
        <w:rPr>
          <w:sz w:val="20"/>
          <w:szCs w:val="20"/>
          <w:lang w:eastAsia="de-DE"/>
        </w:rPr>
        <w:t xml:space="preserve"> bias in machine learning</w:t>
      </w:r>
      <w:r w:rsidR="00BB77B9">
        <w:rPr>
          <w:sz w:val="20"/>
          <w:szCs w:val="20"/>
          <w:lang w:eastAsia="de-DE"/>
        </w:rPr>
        <w:t xml:space="preserve"> applications using a variety of protected class definitions</w:t>
      </w:r>
      <w:r w:rsidRPr="00721123">
        <w:rPr>
          <w:sz w:val="20"/>
          <w:szCs w:val="20"/>
          <w:lang w:eastAsia="de-DE"/>
        </w:rPr>
        <w:t xml:space="preserve">. </w:t>
      </w:r>
      <w:r w:rsidR="00BB77B9">
        <w:rPr>
          <w:sz w:val="20"/>
          <w:szCs w:val="20"/>
          <w:lang w:eastAsia="de-DE"/>
        </w:rPr>
        <w:t>O</w:t>
      </w:r>
      <w:r w:rsidRPr="00721123">
        <w:rPr>
          <w:sz w:val="20"/>
          <w:szCs w:val="20"/>
          <w:lang w:eastAsia="de-DE"/>
        </w:rPr>
        <w:t xml:space="preserve">ur findings highlight the potential for machine learning models to offer more equitable outcomes when appropriately designed and evaluated. The quantitative insights gained from our analysis reveal that </w:t>
      </w:r>
      <w:r w:rsidR="00133640">
        <w:rPr>
          <w:sz w:val="20"/>
          <w:szCs w:val="20"/>
          <w:lang w:eastAsia="de-DE"/>
        </w:rPr>
        <w:t>the algorithms analyzed</w:t>
      </w:r>
      <w:r w:rsidRPr="00721123">
        <w:rPr>
          <w:sz w:val="20"/>
          <w:szCs w:val="20"/>
          <w:lang w:eastAsia="de-DE"/>
        </w:rPr>
        <w:t xml:space="preserve"> tends to exhibit lower variance in bias across different thresholds compared to conventional credit scores, suggesting a more consistent treatment of protected classes. Furthermore, our results emphasize the importance of extending bias analysis to include a broader range of protected categories, which can uncover subtle yet significant discriminatory practices that might otherwise go unnoticed. </w:t>
      </w:r>
    </w:p>
    <w:p w14:paraId="79A0F572" w14:textId="57ADEFD0" w:rsidR="00AF2D1C" w:rsidRPr="00223A7B" w:rsidRDefault="00721123" w:rsidP="00223A7B">
      <w:pPr>
        <w:pStyle w:val="NormalWeb"/>
        <w:rPr>
          <w:sz w:val="20"/>
          <w:szCs w:val="20"/>
          <w:lang w:eastAsia="de-DE"/>
        </w:rPr>
      </w:pPr>
      <w:r w:rsidRPr="00721123">
        <w:rPr>
          <w:sz w:val="20"/>
          <w:szCs w:val="20"/>
          <w:lang w:eastAsia="de-DE"/>
        </w:rPr>
        <w:lastRenderedPageBreak/>
        <w:t>This research contributes to</w:t>
      </w:r>
      <w:r>
        <w:t xml:space="preserve"> </w:t>
      </w:r>
      <w:r w:rsidRPr="00721123">
        <w:rPr>
          <w:sz w:val="20"/>
          <w:szCs w:val="20"/>
          <w:lang w:eastAsia="de-DE"/>
        </w:rPr>
        <w:t>the growing body of literature advocating for fairness in algorithmic decision-making and reinforces the imperative for ongoing vigilance and innovation in bias detection and mitigation techniques. Future research should continue to explore and refine methodologies for bias detection and mitigation to ensure fairness and inclusivity in predictive analytics. By doing so, we can work towards a more just and equitable application of machine learning technologies in various domains.</w:t>
      </w:r>
    </w:p>
    <w:p w14:paraId="2EF50C0E" w14:textId="1D9B5F40" w:rsidR="00AF2D1C" w:rsidRDefault="00AF2D1C" w:rsidP="001E2EE4">
      <w:pPr>
        <w:pStyle w:val="heading2"/>
      </w:pPr>
      <w:r>
        <w:t>Funding</w:t>
      </w:r>
    </w:p>
    <w:p w14:paraId="09DC2F4F" w14:textId="77777777" w:rsidR="00AF2D1C" w:rsidRDefault="00AF2D1C" w:rsidP="00AF2D1C">
      <w:pPr>
        <w:pStyle w:val="p1a"/>
      </w:pPr>
    </w:p>
    <w:p w14:paraId="5F0FA258" w14:textId="77777777" w:rsidR="00AF2D1C" w:rsidRDefault="00AF2D1C" w:rsidP="00AF2D1C">
      <w:pPr>
        <w:pStyle w:val="p1a"/>
      </w:pPr>
      <w:r>
        <w:t>This work was supported by the Tides Foundation grant TF2112-104450.</w:t>
      </w:r>
    </w:p>
    <w:p w14:paraId="3C4C616A" w14:textId="77777777" w:rsidR="0025223B" w:rsidRDefault="0025223B" w:rsidP="00AF2D1C">
      <w:pPr>
        <w:pStyle w:val="p1a"/>
      </w:pPr>
    </w:p>
    <w:p w14:paraId="50783A7D" w14:textId="774E008F" w:rsidR="0025223B" w:rsidRDefault="00F61727" w:rsidP="00F61727">
      <w:pPr>
        <w:pStyle w:val="heading2"/>
      </w:pPr>
      <w:r>
        <w:t>Data Availability</w:t>
      </w:r>
    </w:p>
    <w:p w14:paraId="52FBEFBA" w14:textId="67A1FD0C" w:rsidR="00F61727" w:rsidRPr="00F61727" w:rsidRDefault="00843022" w:rsidP="00433DEA">
      <w:pPr>
        <w:ind w:firstLine="0"/>
      </w:pPr>
      <w:r>
        <w:t>Data is not shared publicly due to ongoing patent application for PCT US2020 056147</w:t>
      </w:r>
    </w:p>
    <w:p w14:paraId="1AC4F78D" w14:textId="77777777" w:rsidR="001E2EE4" w:rsidRDefault="001E2EE4" w:rsidP="00AF2D1C">
      <w:pPr>
        <w:pStyle w:val="p1a"/>
      </w:pPr>
    </w:p>
    <w:p w14:paraId="33385FB8" w14:textId="77777777" w:rsidR="001E2EE4" w:rsidRDefault="001E2EE4" w:rsidP="00AF2D1C">
      <w:pPr>
        <w:pStyle w:val="p1a"/>
      </w:pPr>
    </w:p>
    <w:p w14:paraId="2D3E7587" w14:textId="77777777" w:rsidR="001E2EE4" w:rsidRDefault="001E2EE4" w:rsidP="00AF2D1C">
      <w:pPr>
        <w:pStyle w:val="p1a"/>
      </w:pPr>
    </w:p>
    <w:p w14:paraId="48B33D85" w14:textId="77777777" w:rsidR="001E2EE4" w:rsidRDefault="001E2EE4" w:rsidP="00AF2D1C">
      <w:pPr>
        <w:pStyle w:val="p1a"/>
      </w:pPr>
    </w:p>
    <w:p w14:paraId="405552DB" w14:textId="77777777" w:rsidR="001E2EE4" w:rsidRDefault="001E2EE4" w:rsidP="00AF2D1C">
      <w:pPr>
        <w:pStyle w:val="p1a"/>
      </w:pPr>
    </w:p>
    <w:p w14:paraId="04232372" w14:textId="77777777" w:rsidR="00201527" w:rsidRDefault="00201527" w:rsidP="00AF2D1C">
      <w:pPr>
        <w:pStyle w:val="p1a"/>
      </w:pPr>
    </w:p>
    <w:p w14:paraId="2E0440AA" w14:textId="77777777" w:rsidR="00201527" w:rsidRDefault="00201527" w:rsidP="00AF2D1C">
      <w:pPr>
        <w:pStyle w:val="p1a"/>
      </w:pPr>
    </w:p>
    <w:p w14:paraId="2CB6093B" w14:textId="77777777" w:rsidR="00201527" w:rsidRDefault="00201527" w:rsidP="00AF2D1C">
      <w:pPr>
        <w:pStyle w:val="p1a"/>
      </w:pPr>
    </w:p>
    <w:p w14:paraId="5DB750CB" w14:textId="77777777" w:rsidR="00201527" w:rsidRDefault="00201527" w:rsidP="00AF2D1C">
      <w:pPr>
        <w:pStyle w:val="p1a"/>
      </w:pPr>
    </w:p>
    <w:p w14:paraId="04C04302" w14:textId="77777777" w:rsidR="00201527" w:rsidRDefault="00201527" w:rsidP="00AF2D1C">
      <w:pPr>
        <w:pStyle w:val="p1a"/>
      </w:pPr>
    </w:p>
    <w:p w14:paraId="060B39A3" w14:textId="77777777" w:rsidR="00201527" w:rsidRDefault="00201527" w:rsidP="00AF2D1C">
      <w:pPr>
        <w:pStyle w:val="p1a"/>
      </w:pPr>
    </w:p>
    <w:p w14:paraId="07998C60" w14:textId="77777777" w:rsidR="00201527" w:rsidRDefault="00201527" w:rsidP="00AF2D1C">
      <w:pPr>
        <w:pStyle w:val="p1a"/>
      </w:pPr>
    </w:p>
    <w:p w14:paraId="41B5B1A4" w14:textId="77777777" w:rsidR="00201527" w:rsidRDefault="00201527" w:rsidP="00AF2D1C">
      <w:pPr>
        <w:pStyle w:val="p1a"/>
      </w:pPr>
    </w:p>
    <w:p w14:paraId="528891E7" w14:textId="77777777" w:rsidR="00201527" w:rsidRDefault="00201527" w:rsidP="00AF2D1C">
      <w:pPr>
        <w:pStyle w:val="p1a"/>
      </w:pPr>
    </w:p>
    <w:p w14:paraId="558A0175" w14:textId="77777777" w:rsidR="00201527" w:rsidRDefault="00201527" w:rsidP="00AF2D1C">
      <w:pPr>
        <w:pStyle w:val="p1a"/>
      </w:pPr>
    </w:p>
    <w:p w14:paraId="46EEF4CA" w14:textId="77777777" w:rsidR="00201527" w:rsidRDefault="00201527" w:rsidP="00AF2D1C">
      <w:pPr>
        <w:pStyle w:val="p1a"/>
      </w:pPr>
    </w:p>
    <w:p w14:paraId="097FA359" w14:textId="77777777" w:rsidR="00201527" w:rsidRDefault="00201527" w:rsidP="00AF2D1C">
      <w:pPr>
        <w:pStyle w:val="p1a"/>
      </w:pPr>
    </w:p>
    <w:p w14:paraId="1C9C6CDC" w14:textId="77777777" w:rsidR="00201527" w:rsidRDefault="00201527" w:rsidP="00AF2D1C">
      <w:pPr>
        <w:pStyle w:val="p1a"/>
      </w:pPr>
    </w:p>
    <w:p w14:paraId="4A1200AD" w14:textId="77777777" w:rsidR="00201527" w:rsidRDefault="00201527" w:rsidP="00AF2D1C">
      <w:pPr>
        <w:pStyle w:val="p1a"/>
      </w:pPr>
    </w:p>
    <w:p w14:paraId="72E1419A" w14:textId="77777777" w:rsidR="001E2EE4" w:rsidRDefault="001E2EE4" w:rsidP="00AF2D1C">
      <w:pPr>
        <w:pStyle w:val="p1a"/>
      </w:pPr>
    </w:p>
    <w:p w14:paraId="36B12108" w14:textId="77777777" w:rsidR="0025223B" w:rsidRDefault="0025223B" w:rsidP="00AF2D1C">
      <w:pPr>
        <w:pStyle w:val="p1a"/>
      </w:pPr>
    </w:p>
    <w:p w14:paraId="5B700B11" w14:textId="77777777" w:rsidR="0025223B" w:rsidRDefault="0025223B" w:rsidP="00AF2D1C">
      <w:pPr>
        <w:pStyle w:val="p1a"/>
      </w:pPr>
    </w:p>
    <w:p w14:paraId="700F4590" w14:textId="77777777" w:rsidR="0025223B" w:rsidRDefault="0025223B" w:rsidP="00AF2D1C">
      <w:pPr>
        <w:pStyle w:val="p1a"/>
      </w:pPr>
    </w:p>
    <w:p w14:paraId="549F55D2" w14:textId="77777777" w:rsidR="0025223B" w:rsidRDefault="0025223B" w:rsidP="00AF2D1C">
      <w:pPr>
        <w:pStyle w:val="p1a"/>
      </w:pPr>
    </w:p>
    <w:p w14:paraId="7CB1F8FD" w14:textId="746EF520" w:rsidR="004828E1" w:rsidRDefault="00F92E19" w:rsidP="003A7E6A">
      <w:pPr>
        <w:pStyle w:val="heading1"/>
        <w:numPr>
          <w:ilvl w:val="0"/>
          <w:numId w:val="0"/>
        </w:numPr>
        <w:ind w:left="567"/>
      </w:pPr>
      <w:r>
        <w:lastRenderedPageBreak/>
        <w:t>R</w:t>
      </w:r>
      <w:r w:rsidR="004828E1">
        <w:t>eferences</w:t>
      </w:r>
    </w:p>
    <w:p w14:paraId="75D3F018" w14:textId="77777777" w:rsidR="00455F7F" w:rsidRDefault="00455F7F" w:rsidP="00D23831">
      <w:pPr>
        <w:pStyle w:val="p1a"/>
      </w:pPr>
    </w:p>
    <w:p w14:paraId="5EAEB8A9" w14:textId="77777777" w:rsidR="00455F7F" w:rsidRDefault="00455F7F" w:rsidP="00D23831">
      <w:pPr>
        <w:pStyle w:val="p1a"/>
      </w:pPr>
    </w:p>
    <w:p w14:paraId="6FEF1378" w14:textId="77777777" w:rsidR="00BC22CD" w:rsidRDefault="00455F7F" w:rsidP="00BC22CD">
      <w:pPr>
        <w:pStyle w:val="referenceitem"/>
      </w:pPr>
      <w:r>
        <w:t xml:space="preserve">Hardt, Moritz, Eric Price and Nathan </w:t>
      </w:r>
      <w:proofErr w:type="spellStart"/>
      <w:r>
        <w:t>Srebro</w:t>
      </w:r>
      <w:proofErr w:type="spellEnd"/>
      <w:r>
        <w:t xml:space="preserve">. 2016. “Equality of Opportunity in Supervised Learning.” </w:t>
      </w:r>
      <w:proofErr w:type="spellStart"/>
      <w:r>
        <w:t>CoRRabs</w:t>
      </w:r>
      <w:proofErr w:type="spellEnd"/>
      <w:r>
        <w:t xml:space="preserve">/1610.02413.URL: </w:t>
      </w:r>
      <w:hyperlink r:id="rId16" w:history="1">
        <w:r w:rsidR="00BC22CD" w:rsidRPr="00415857">
          <w:rPr>
            <w:rStyle w:val="Hyperlink"/>
          </w:rPr>
          <w:t>http://arxiv.org/abs/1610.02413</w:t>
        </w:r>
      </w:hyperlink>
    </w:p>
    <w:p w14:paraId="41CAC7E6" w14:textId="77777777" w:rsidR="00BC22CD" w:rsidRPr="00BC22CD" w:rsidRDefault="00BC22CD" w:rsidP="00BC22CD">
      <w:pPr>
        <w:pStyle w:val="referenceitem"/>
      </w:pPr>
      <w:r w:rsidRPr="00BC22CD">
        <w:t xml:space="preserve">Davuluri, Sruthi, Ren. </w:t>
      </w:r>
      <w:proofErr w:type="spellStart"/>
      <w:r w:rsidRPr="00BC22CD">
        <w:t>Garc.a</w:t>
      </w:r>
      <w:proofErr w:type="spellEnd"/>
      <w:r w:rsidRPr="00BC22CD">
        <w:t xml:space="preserve"> </w:t>
      </w:r>
      <w:proofErr w:type="spellStart"/>
      <w:r w:rsidRPr="00BC22CD">
        <w:t>Franceschini</w:t>
      </w:r>
      <w:proofErr w:type="spellEnd"/>
      <w:r w:rsidRPr="00BC22CD">
        <w:t xml:space="preserve">, Christopher R </w:t>
      </w:r>
      <w:proofErr w:type="spellStart"/>
      <w:r w:rsidRPr="00BC22CD">
        <w:t>Knittel</w:t>
      </w:r>
      <w:proofErr w:type="spellEnd"/>
      <w:r w:rsidRPr="00BC22CD">
        <w:t xml:space="preserve">, Chikara Onda and Kelly Roache. 2019. Machine Learning for Solar Accessibility: Implications for Low-Income Solar Expansion and Profitability. Working Paper 26178 National Bureau of Economic Research. URL: </w:t>
      </w:r>
      <w:hyperlink r:id="rId17" w:history="1">
        <w:r w:rsidRPr="00BC22CD">
          <w:t>http://www.nber.org/papers/w26178</w:t>
        </w:r>
      </w:hyperlink>
    </w:p>
    <w:p w14:paraId="1B638C36" w14:textId="77777777" w:rsidR="00BC22CD" w:rsidRPr="00BC22CD" w:rsidRDefault="00BC22CD" w:rsidP="00BC22CD">
      <w:pPr>
        <w:pStyle w:val="referenceitem"/>
      </w:pPr>
      <w:proofErr w:type="spellStart"/>
      <w:r w:rsidRPr="00BC22CD">
        <w:t>Dwork</w:t>
      </w:r>
      <w:proofErr w:type="spellEnd"/>
      <w:r w:rsidRPr="00BC22CD">
        <w:t xml:space="preserve">, Cynthia, Moritz Hardt, </w:t>
      </w:r>
      <w:proofErr w:type="spellStart"/>
      <w:r w:rsidRPr="00BC22CD">
        <w:t>Toniann</w:t>
      </w:r>
      <w:proofErr w:type="spellEnd"/>
      <w:r w:rsidRPr="00BC22CD">
        <w:t xml:space="preserve"> </w:t>
      </w:r>
      <w:proofErr w:type="spellStart"/>
      <w:r w:rsidRPr="00BC22CD">
        <w:t>Pitassi</w:t>
      </w:r>
      <w:proofErr w:type="spellEnd"/>
      <w:r w:rsidRPr="00BC22CD">
        <w:t xml:space="preserve">, Omer </w:t>
      </w:r>
      <w:proofErr w:type="spellStart"/>
      <w:r w:rsidRPr="00BC22CD">
        <w:t>Reingold</w:t>
      </w:r>
      <w:proofErr w:type="spellEnd"/>
      <w:r w:rsidRPr="00BC22CD">
        <w:t xml:space="preserve"> and Richard S. </w:t>
      </w:r>
      <w:proofErr w:type="spellStart"/>
      <w:r w:rsidRPr="00BC22CD">
        <w:t>Zemel</w:t>
      </w:r>
      <w:proofErr w:type="spellEnd"/>
      <w:r w:rsidRPr="00BC22CD">
        <w:t xml:space="preserve">. 2011. “Fairness Through Awareness.” </w:t>
      </w:r>
      <w:proofErr w:type="spellStart"/>
      <w:r w:rsidRPr="00BC22CD">
        <w:t>CoRR</w:t>
      </w:r>
      <w:proofErr w:type="spellEnd"/>
      <w:r w:rsidRPr="00BC22CD">
        <w:t xml:space="preserve"> abs/1104.3913. URL: </w:t>
      </w:r>
      <w:hyperlink r:id="rId18" w:history="1">
        <w:r w:rsidRPr="00BC22CD">
          <w:t>http://arxiv.org/abs/1104.3913</w:t>
        </w:r>
      </w:hyperlink>
    </w:p>
    <w:p w14:paraId="5506BC4C" w14:textId="77777777" w:rsidR="00BC22CD" w:rsidRPr="00BC22CD" w:rsidRDefault="00BC22CD" w:rsidP="00BC22CD">
      <w:pPr>
        <w:pStyle w:val="referenceitem"/>
      </w:pPr>
      <w:r w:rsidRPr="00BC22CD">
        <w:t xml:space="preserve">Suresh, Harini and John V. Guttag. 2019. “A Framework for Understanding Unintended Consequences of Machine Learning.” </w:t>
      </w:r>
      <w:proofErr w:type="spellStart"/>
      <w:r w:rsidRPr="00BC22CD">
        <w:t>CoRR</w:t>
      </w:r>
      <w:proofErr w:type="spellEnd"/>
      <w:r w:rsidRPr="00BC22CD">
        <w:t xml:space="preserve"> abs/1901.10002. URL: </w:t>
      </w:r>
      <w:hyperlink r:id="rId19" w:history="1">
        <w:r w:rsidRPr="00BC22CD">
          <w:t>http://arxiv.org/abs/1901.10002</w:t>
        </w:r>
      </w:hyperlink>
    </w:p>
    <w:p w14:paraId="7E7290CA" w14:textId="77777777" w:rsidR="00BC22CD" w:rsidRPr="00BC22CD" w:rsidRDefault="00BC22CD" w:rsidP="00BC22CD">
      <w:pPr>
        <w:pStyle w:val="referenceitem"/>
      </w:pPr>
      <w:r w:rsidRPr="00BC22CD">
        <w:t xml:space="preserve">Yang, </w:t>
      </w:r>
      <w:proofErr w:type="spellStart"/>
      <w:r w:rsidRPr="00BC22CD">
        <w:t>Zhenhuan</w:t>
      </w:r>
      <w:proofErr w:type="spellEnd"/>
      <w:r w:rsidRPr="00BC22CD">
        <w:t xml:space="preserve">, Yan Lok Ko, Kush R. Varshney and </w:t>
      </w:r>
      <w:proofErr w:type="spellStart"/>
      <w:r w:rsidRPr="00BC22CD">
        <w:t>Yiming</w:t>
      </w:r>
      <w:proofErr w:type="spellEnd"/>
      <w:r w:rsidRPr="00BC22CD">
        <w:t xml:space="preserve"> Ying. 2022. “Minimax AUC Fairness: Efficient Algorithm with Provable Convergence.”. URL: </w:t>
      </w:r>
      <w:hyperlink r:id="rId20" w:history="1">
        <w:r w:rsidRPr="00BC22CD">
          <w:t>https://arxiv.org/pdf/2208.10451.pdf</w:t>
        </w:r>
      </w:hyperlink>
      <w:r w:rsidRPr="00BC22CD">
        <w:t xml:space="preserve"> </w:t>
      </w:r>
    </w:p>
    <w:p w14:paraId="0C2985C7" w14:textId="643E5326" w:rsidR="00BC22CD" w:rsidRDefault="00BC22CD" w:rsidP="00BC22CD">
      <w:pPr>
        <w:pStyle w:val="referenceitem"/>
      </w:pPr>
      <w:proofErr w:type="spellStart"/>
      <w:r w:rsidRPr="00BC22CD">
        <w:t>Zemel</w:t>
      </w:r>
      <w:proofErr w:type="spellEnd"/>
      <w:r w:rsidRPr="00BC22CD">
        <w:t xml:space="preserve">, Rich, </w:t>
      </w:r>
      <w:proofErr w:type="spellStart"/>
      <w:r w:rsidRPr="00BC22CD">
        <w:t>YuWu</w:t>
      </w:r>
      <w:proofErr w:type="spellEnd"/>
      <w:r w:rsidRPr="00BC22CD">
        <w:t xml:space="preserve">, Kevin </w:t>
      </w:r>
      <w:proofErr w:type="spellStart"/>
      <w:r w:rsidRPr="00BC22CD">
        <w:t>Swersky</w:t>
      </w:r>
      <w:proofErr w:type="spellEnd"/>
      <w:r w:rsidRPr="00BC22CD">
        <w:t xml:space="preserve">, Toni </w:t>
      </w:r>
      <w:proofErr w:type="spellStart"/>
      <w:r w:rsidRPr="00BC22CD">
        <w:t>Pitassi</w:t>
      </w:r>
      <w:proofErr w:type="spellEnd"/>
      <w:r w:rsidRPr="00BC22CD">
        <w:t xml:space="preserve"> and Cynthia </w:t>
      </w:r>
      <w:proofErr w:type="spellStart"/>
      <w:r w:rsidRPr="00BC22CD">
        <w:t>Dwork</w:t>
      </w:r>
      <w:proofErr w:type="spellEnd"/>
      <w:r w:rsidRPr="00BC22CD">
        <w:t xml:space="preserve">. 2013. Learning Fair </w:t>
      </w:r>
      <w:proofErr w:type="gramStart"/>
      <w:r w:rsidRPr="00BC22CD">
        <w:t>Representations .In</w:t>
      </w:r>
      <w:proofErr w:type="gramEnd"/>
      <w:r w:rsidRPr="00BC22CD">
        <w:t xml:space="preserve"> Proceedings of the 30th International Conference on Machine Learning, ed. Vol. 28 of Proceedings of Machine Learning Research Atlanta, Georgia, USA: PMLR pp. 325–333. URL: </w:t>
      </w:r>
      <w:hyperlink r:id="rId21" w:history="1">
        <w:r w:rsidR="00485554" w:rsidRPr="00415857">
          <w:rPr>
            <w:rStyle w:val="Hyperlink"/>
          </w:rPr>
          <w:t>https://proceedings.mlr.press/v28/zemel13.html</w:t>
        </w:r>
      </w:hyperlink>
    </w:p>
    <w:p w14:paraId="4F20A2BC" w14:textId="77777777" w:rsidR="006C47F0" w:rsidRPr="006C47F0" w:rsidRDefault="006C47F0" w:rsidP="006C47F0">
      <w:pPr>
        <w:pStyle w:val="referenceitem"/>
        <w:rPr>
          <w:lang w:eastAsia="en-US"/>
        </w:rPr>
      </w:pPr>
      <w:proofErr w:type="spellStart"/>
      <w:r w:rsidRPr="006C47F0">
        <w:rPr>
          <w:lang w:eastAsia="en-US"/>
        </w:rPr>
        <w:t>Barocas</w:t>
      </w:r>
      <w:proofErr w:type="spellEnd"/>
      <w:r w:rsidRPr="006C47F0">
        <w:rPr>
          <w:lang w:eastAsia="en-US"/>
        </w:rPr>
        <w:t>, S., Hardt, M., &amp; Narayanan, A. (2019). Fairness and Machine Learning. fairmlbook.org.</w:t>
      </w:r>
    </w:p>
    <w:p w14:paraId="320FDAE4" w14:textId="77777777" w:rsidR="006C47F0" w:rsidRPr="006C47F0" w:rsidRDefault="006C47F0" w:rsidP="006C47F0">
      <w:pPr>
        <w:pStyle w:val="referenceitem"/>
        <w:rPr>
          <w:lang w:eastAsia="en-US"/>
        </w:rPr>
      </w:pPr>
      <w:r w:rsidRPr="006C47F0">
        <w:rPr>
          <w:lang w:eastAsia="en-US"/>
        </w:rPr>
        <w:t xml:space="preserve">Kleinberg, J., Mullainathan, S., &amp; Raghavan, M. (2016). "Inherent Trade-Offs in the Fair Determination of Risk Scores." </w:t>
      </w:r>
      <w:proofErr w:type="spellStart"/>
      <w:r w:rsidRPr="006C47F0">
        <w:rPr>
          <w:lang w:eastAsia="en-US"/>
        </w:rPr>
        <w:t>arXiv</w:t>
      </w:r>
      <w:proofErr w:type="spellEnd"/>
      <w:r w:rsidRPr="006C47F0">
        <w:rPr>
          <w:lang w:eastAsia="en-US"/>
        </w:rPr>
        <w:t xml:space="preserve"> preprint arXiv:1609.05807.</w:t>
      </w:r>
    </w:p>
    <w:p w14:paraId="254D3971" w14:textId="77777777" w:rsidR="006C47F0" w:rsidRPr="006C47F0" w:rsidRDefault="006C47F0" w:rsidP="006C47F0">
      <w:pPr>
        <w:pStyle w:val="referenceitem"/>
        <w:rPr>
          <w:lang w:eastAsia="en-US"/>
        </w:rPr>
      </w:pPr>
      <w:proofErr w:type="spellStart"/>
      <w:r w:rsidRPr="006C47F0">
        <w:rPr>
          <w:lang w:eastAsia="en-US"/>
        </w:rPr>
        <w:t>Mehrabi</w:t>
      </w:r>
      <w:proofErr w:type="spellEnd"/>
      <w:r w:rsidRPr="006C47F0">
        <w:rPr>
          <w:lang w:eastAsia="en-US"/>
        </w:rPr>
        <w:t xml:space="preserve">, N., </w:t>
      </w:r>
      <w:proofErr w:type="spellStart"/>
      <w:r w:rsidRPr="006C47F0">
        <w:rPr>
          <w:lang w:eastAsia="en-US"/>
        </w:rPr>
        <w:t>Morstatter</w:t>
      </w:r>
      <w:proofErr w:type="spellEnd"/>
      <w:r w:rsidRPr="006C47F0">
        <w:rPr>
          <w:lang w:eastAsia="en-US"/>
        </w:rPr>
        <w:t xml:space="preserve">, F., Saxena, N., </w:t>
      </w:r>
      <w:proofErr w:type="spellStart"/>
      <w:r w:rsidRPr="006C47F0">
        <w:rPr>
          <w:lang w:eastAsia="en-US"/>
        </w:rPr>
        <w:t>Lerman</w:t>
      </w:r>
      <w:proofErr w:type="spellEnd"/>
      <w:r w:rsidRPr="006C47F0">
        <w:rPr>
          <w:lang w:eastAsia="en-US"/>
        </w:rPr>
        <w:t>, K., &amp; Galstyan, A. (2021). "A Survey on Bias and Fairness in Machine Learning." ACM Computing Surveys (CSUR), 54(6), 1-35.</w:t>
      </w:r>
    </w:p>
    <w:p w14:paraId="1231EBC3" w14:textId="73DBB7A1" w:rsidR="00485554" w:rsidRPr="00D05806" w:rsidRDefault="00485554" w:rsidP="001B7AA7">
      <w:pPr>
        <w:pStyle w:val="referenceitem"/>
        <w:numPr>
          <w:ilvl w:val="0"/>
          <w:numId w:val="0"/>
        </w:numPr>
        <w:ind w:left="341"/>
      </w:pPr>
    </w:p>
    <w:sectPr w:rsidR="00485554" w:rsidRPr="00D05806"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64E86" w14:textId="77777777" w:rsidR="002A6750" w:rsidRDefault="002A6750">
      <w:r>
        <w:separator/>
      </w:r>
    </w:p>
  </w:endnote>
  <w:endnote w:type="continuationSeparator" w:id="0">
    <w:p w14:paraId="6046D77A" w14:textId="77777777" w:rsidR="002A6750" w:rsidRDefault="002A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3B96B" w14:textId="77777777" w:rsidR="002A6750" w:rsidRDefault="002A6750" w:rsidP="009A40EA">
      <w:r>
        <w:separator/>
      </w:r>
    </w:p>
  </w:footnote>
  <w:footnote w:type="continuationSeparator" w:id="0">
    <w:p w14:paraId="6E6CC070" w14:textId="77777777" w:rsidR="002A6750" w:rsidRPr="009A40EA" w:rsidRDefault="002A6750" w:rsidP="009A40EA">
      <w:r>
        <w:separator/>
      </w:r>
    </w:p>
  </w:footnote>
  <w:footnote w:type="continuationNotice" w:id="1">
    <w:p w14:paraId="1D4C4A95" w14:textId="77777777" w:rsidR="002A6750" w:rsidRPr="00C26F77" w:rsidRDefault="002A6750"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B5E37FB"/>
    <w:multiLevelType w:val="hybridMultilevel"/>
    <w:tmpl w:val="2906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4384358"/>
    <w:multiLevelType w:val="multilevel"/>
    <w:tmpl w:val="B4C0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3" w15:restartNumberingAfterBreak="0">
    <w:nsid w:val="7D9521C8"/>
    <w:multiLevelType w:val="multilevel"/>
    <w:tmpl w:val="9780B12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238"/>
        </w:tabs>
        <w:ind w:left="2238" w:hanging="360"/>
      </w:pPr>
      <w:rPr>
        <w:rFonts w:hint="default"/>
      </w:rPr>
    </w:lvl>
    <w:lvl w:ilvl="2">
      <w:start w:val="1"/>
      <w:numFmt w:val="lowerRoman"/>
      <w:lvlText w:val="%3."/>
      <w:lvlJc w:val="right"/>
      <w:pPr>
        <w:tabs>
          <w:tab w:val="num" w:pos="2958"/>
        </w:tabs>
        <w:ind w:left="2958" w:hanging="180"/>
      </w:pPr>
      <w:rPr>
        <w:rFonts w:hint="default"/>
      </w:rPr>
    </w:lvl>
    <w:lvl w:ilvl="3">
      <w:start w:val="1"/>
      <w:numFmt w:val="decimal"/>
      <w:lvlText w:val="%4."/>
      <w:lvlJc w:val="left"/>
      <w:pPr>
        <w:tabs>
          <w:tab w:val="num" w:pos="3678"/>
        </w:tabs>
        <w:ind w:left="3678" w:hanging="360"/>
      </w:pPr>
      <w:rPr>
        <w:rFonts w:hint="default"/>
      </w:rPr>
    </w:lvl>
    <w:lvl w:ilvl="4">
      <w:start w:val="1"/>
      <w:numFmt w:val="lowerLetter"/>
      <w:lvlText w:val="%5."/>
      <w:lvlJc w:val="left"/>
      <w:pPr>
        <w:tabs>
          <w:tab w:val="num" w:pos="4398"/>
        </w:tabs>
        <w:ind w:left="4398" w:hanging="360"/>
      </w:pPr>
      <w:rPr>
        <w:rFonts w:hint="default"/>
      </w:rPr>
    </w:lvl>
    <w:lvl w:ilvl="5">
      <w:start w:val="1"/>
      <w:numFmt w:val="lowerRoman"/>
      <w:lvlText w:val="%6."/>
      <w:lvlJc w:val="right"/>
      <w:pPr>
        <w:tabs>
          <w:tab w:val="num" w:pos="5118"/>
        </w:tabs>
        <w:ind w:left="5118" w:hanging="180"/>
      </w:pPr>
      <w:rPr>
        <w:rFonts w:hint="default"/>
      </w:rPr>
    </w:lvl>
    <w:lvl w:ilvl="6">
      <w:start w:val="1"/>
      <w:numFmt w:val="decimal"/>
      <w:lvlText w:val="%7."/>
      <w:lvlJc w:val="left"/>
      <w:pPr>
        <w:tabs>
          <w:tab w:val="num" w:pos="5838"/>
        </w:tabs>
        <w:ind w:left="5838" w:hanging="360"/>
      </w:pPr>
      <w:rPr>
        <w:rFonts w:hint="default"/>
      </w:rPr>
    </w:lvl>
    <w:lvl w:ilvl="7">
      <w:start w:val="1"/>
      <w:numFmt w:val="lowerLetter"/>
      <w:lvlText w:val="%8."/>
      <w:lvlJc w:val="left"/>
      <w:pPr>
        <w:tabs>
          <w:tab w:val="num" w:pos="6558"/>
        </w:tabs>
        <w:ind w:left="6558" w:hanging="360"/>
      </w:pPr>
      <w:rPr>
        <w:rFonts w:hint="default"/>
      </w:rPr>
    </w:lvl>
    <w:lvl w:ilvl="8">
      <w:start w:val="1"/>
      <w:numFmt w:val="lowerRoman"/>
      <w:lvlText w:val="%9."/>
      <w:lvlJc w:val="right"/>
      <w:pPr>
        <w:tabs>
          <w:tab w:val="num" w:pos="7278"/>
        </w:tabs>
        <w:ind w:left="7278" w:hanging="180"/>
      </w:pPr>
      <w:rPr>
        <w:rFonts w:hint="default"/>
      </w:rPr>
    </w:lvl>
  </w:abstractNum>
  <w:num w:numId="1" w16cid:durableId="1191340366">
    <w:abstractNumId w:val="12"/>
  </w:num>
  <w:num w:numId="2" w16cid:durableId="343047172">
    <w:abstractNumId w:val="11"/>
  </w:num>
  <w:num w:numId="3" w16cid:durableId="1796678887">
    <w:abstractNumId w:val="13"/>
  </w:num>
  <w:num w:numId="4" w16cid:durableId="1626158247">
    <w:abstractNumId w:val="5"/>
  </w:num>
  <w:num w:numId="5" w16cid:durableId="961811687">
    <w:abstractNumId w:val="4"/>
  </w:num>
  <w:num w:numId="6" w16cid:durableId="385489871">
    <w:abstractNumId w:val="8"/>
  </w:num>
  <w:num w:numId="7" w16cid:durableId="458375623">
    <w:abstractNumId w:val="10"/>
  </w:num>
  <w:num w:numId="8" w16cid:durableId="692613211">
    <w:abstractNumId w:val="8"/>
  </w:num>
  <w:num w:numId="9" w16cid:durableId="512964583">
    <w:abstractNumId w:val="7"/>
  </w:num>
  <w:num w:numId="10" w16cid:durableId="15503855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1814117">
    <w:abstractNumId w:val="3"/>
  </w:num>
  <w:num w:numId="12" w16cid:durableId="724376637">
    <w:abstractNumId w:val="2"/>
  </w:num>
  <w:num w:numId="13" w16cid:durableId="349992919">
    <w:abstractNumId w:val="1"/>
  </w:num>
  <w:num w:numId="14" w16cid:durableId="1410032757">
    <w:abstractNumId w:val="0"/>
  </w:num>
  <w:num w:numId="15" w16cid:durableId="770664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54987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2544324">
    <w:abstractNumId w:val="7"/>
  </w:num>
  <w:num w:numId="18" w16cid:durableId="20051595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056964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59317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7190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7290631">
    <w:abstractNumId w:val="13"/>
  </w:num>
  <w:num w:numId="23" w16cid:durableId="1785806001">
    <w:abstractNumId w:val="6"/>
  </w:num>
  <w:num w:numId="24" w16cid:durableId="1481725497">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de-DE"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1C"/>
    <w:rsid w:val="0000048D"/>
    <w:rsid w:val="000077A9"/>
    <w:rsid w:val="000110D3"/>
    <w:rsid w:val="000119E6"/>
    <w:rsid w:val="000209FE"/>
    <w:rsid w:val="000310FD"/>
    <w:rsid w:val="00035058"/>
    <w:rsid w:val="00044B21"/>
    <w:rsid w:val="00051A6C"/>
    <w:rsid w:val="00052B81"/>
    <w:rsid w:val="00083617"/>
    <w:rsid w:val="00091B13"/>
    <w:rsid w:val="000973CC"/>
    <w:rsid w:val="00097E8F"/>
    <w:rsid w:val="000B553B"/>
    <w:rsid w:val="000C1161"/>
    <w:rsid w:val="000C5BDE"/>
    <w:rsid w:val="000D0BFA"/>
    <w:rsid w:val="000D63D0"/>
    <w:rsid w:val="000D7CBE"/>
    <w:rsid w:val="000F0227"/>
    <w:rsid w:val="000F273E"/>
    <w:rsid w:val="000F328B"/>
    <w:rsid w:val="001106A4"/>
    <w:rsid w:val="00114AB0"/>
    <w:rsid w:val="00133640"/>
    <w:rsid w:val="00145C6F"/>
    <w:rsid w:val="00147FA1"/>
    <w:rsid w:val="00151772"/>
    <w:rsid w:val="00155D11"/>
    <w:rsid w:val="0015721A"/>
    <w:rsid w:val="0016340C"/>
    <w:rsid w:val="00166009"/>
    <w:rsid w:val="00171521"/>
    <w:rsid w:val="00176368"/>
    <w:rsid w:val="00191F31"/>
    <w:rsid w:val="00195587"/>
    <w:rsid w:val="001A4455"/>
    <w:rsid w:val="001B7AA7"/>
    <w:rsid w:val="001C02CA"/>
    <w:rsid w:val="001C1002"/>
    <w:rsid w:val="001C4C33"/>
    <w:rsid w:val="001D545F"/>
    <w:rsid w:val="001E2EE4"/>
    <w:rsid w:val="001E62A6"/>
    <w:rsid w:val="001F17E9"/>
    <w:rsid w:val="001F6FC0"/>
    <w:rsid w:val="001F7036"/>
    <w:rsid w:val="00201527"/>
    <w:rsid w:val="002036A7"/>
    <w:rsid w:val="00203963"/>
    <w:rsid w:val="00205B9D"/>
    <w:rsid w:val="002060A7"/>
    <w:rsid w:val="00217118"/>
    <w:rsid w:val="00217BB2"/>
    <w:rsid w:val="00223838"/>
    <w:rsid w:val="00223A7B"/>
    <w:rsid w:val="00224F23"/>
    <w:rsid w:val="00243F19"/>
    <w:rsid w:val="00246B99"/>
    <w:rsid w:val="00250774"/>
    <w:rsid w:val="00250FAA"/>
    <w:rsid w:val="0025223B"/>
    <w:rsid w:val="002534C9"/>
    <w:rsid w:val="00260473"/>
    <w:rsid w:val="00260ABE"/>
    <w:rsid w:val="002641EF"/>
    <w:rsid w:val="00266236"/>
    <w:rsid w:val="002664DC"/>
    <w:rsid w:val="00266838"/>
    <w:rsid w:val="00272D44"/>
    <w:rsid w:val="00276B4D"/>
    <w:rsid w:val="00277590"/>
    <w:rsid w:val="00281A0C"/>
    <w:rsid w:val="00283022"/>
    <w:rsid w:val="00294524"/>
    <w:rsid w:val="002A0138"/>
    <w:rsid w:val="002A6750"/>
    <w:rsid w:val="002B15BE"/>
    <w:rsid w:val="002D20E2"/>
    <w:rsid w:val="002E597F"/>
    <w:rsid w:val="002E778B"/>
    <w:rsid w:val="002F4CE6"/>
    <w:rsid w:val="00301BC2"/>
    <w:rsid w:val="00304755"/>
    <w:rsid w:val="00307478"/>
    <w:rsid w:val="003167D9"/>
    <w:rsid w:val="0031727B"/>
    <w:rsid w:val="003178EE"/>
    <w:rsid w:val="00326742"/>
    <w:rsid w:val="00347F01"/>
    <w:rsid w:val="00350B43"/>
    <w:rsid w:val="0035505F"/>
    <w:rsid w:val="0035641D"/>
    <w:rsid w:val="00361833"/>
    <w:rsid w:val="0036325E"/>
    <w:rsid w:val="00377C44"/>
    <w:rsid w:val="00381C60"/>
    <w:rsid w:val="00382328"/>
    <w:rsid w:val="003911B6"/>
    <w:rsid w:val="003A7E6A"/>
    <w:rsid w:val="003B3B8C"/>
    <w:rsid w:val="003C382B"/>
    <w:rsid w:val="003C3E0E"/>
    <w:rsid w:val="003C632C"/>
    <w:rsid w:val="003D75EF"/>
    <w:rsid w:val="003E18D7"/>
    <w:rsid w:val="003F00C7"/>
    <w:rsid w:val="003F423B"/>
    <w:rsid w:val="00410277"/>
    <w:rsid w:val="0041449A"/>
    <w:rsid w:val="004146CD"/>
    <w:rsid w:val="0043386E"/>
    <w:rsid w:val="00433DEA"/>
    <w:rsid w:val="00434415"/>
    <w:rsid w:val="004370C4"/>
    <w:rsid w:val="0044743E"/>
    <w:rsid w:val="00455F7F"/>
    <w:rsid w:val="00461E3B"/>
    <w:rsid w:val="00470F2E"/>
    <w:rsid w:val="00471574"/>
    <w:rsid w:val="004828E1"/>
    <w:rsid w:val="00485554"/>
    <w:rsid w:val="00495C43"/>
    <w:rsid w:val="004C13F4"/>
    <w:rsid w:val="004E0A20"/>
    <w:rsid w:val="004E42EA"/>
    <w:rsid w:val="004F4A36"/>
    <w:rsid w:val="0053068B"/>
    <w:rsid w:val="00531EEA"/>
    <w:rsid w:val="00536F2B"/>
    <w:rsid w:val="0054169A"/>
    <w:rsid w:val="00544CE9"/>
    <w:rsid w:val="00550530"/>
    <w:rsid w:val="00560A73"/>
    <w:rsid w:val="005679AE"/>
    <w:rsid w:val="0058168B"/>
    <w:rsid w:val="00590615"/>
    <w:rsid w:val="00596272"/>
    <w:rsid w:val="005A410D"/>
    <w:rsid w:val="005B0819"/>
    <w:rsid w:val="005B21D1"/>
    <w:rsid w:val="005B5A42"/>
    <w:rsid w:val="005C091A"/>
    <w:rsid w:val="005D5B5A"/>
    <w:rsid w:val="005E464F"/>
    <w:rsid w:val="005E48C3"/>
    <w:rsid w:val="005F7FAC"/>
    <w:rsid w:val="006030DE"/>
    <w:rsid w:val="006047C4"/>
    <w:rsid w:val="0060481B"/>
    <w:rsid w:val="00612056"/>
    <w:rsid w:val="006137BC"/>
    <w:rsid w:val="006246DA"/>
    <w:rsid w:val="00624AD7"/>
    <w:rsid w:val="0062629C"/>
    <w:rsid w:val="00631C4A"/>
    <w:rsid w:val="00636A67"/>
    <w:rsid w:val="006444A9"/>
    <w:rsid w:val="00650B04"/>
    <w:rsid w:val="0065153E"/>
    <w:rsid w:val="0065419A"/>
    <w:rsid w:val="00661B1D"/>
    <w:rsid w:val="00662811"/>
    <w:rsid w:val="006704F3"/>
    <w:rsid w:val="00683327"/>
    <w:rsid w:val="00683A0A"/>
    <w:rsid w:val="00685452"/>
    <w:rsid w:val="0069757F"/>
    <w:rsid w:val="006A059F"/>
    <w:rsid w:val="006A0A6F"/>
    <w:rsid w:val="006B0CBA"/>
    <w:rsid w:val="006B168A"/>
    <w:rsid w:val="006B515E"/>
    <w:rsid w:val="006C47F0"/>
    <w:rsid w:val="006C631C"/>
    <w:rsid w:val="006D1F41"/>
    <w:rsid w:val="006D3BD7"/>
    <w:rsid w:val="006D49F3"/>
    <w:rsid w:val="006E17E4"/>
    <w:rsid w:val="006E292B"/>
    <w:rsid w:val="006F602B"/>
    <w:rsid w:val="00701753"/>
    <w:rsid w:val="0070690C"/>
    <w:rsid w:val="00712B78"/>
    <w:rsid w:val="00715651"/>
    <w:rsid w:val="007200CB"/>
    <w:rsid w:val="00721123"/>
    <w:rsid w:val="00724F04"/>
    <w:rsid w:val="0073504E"/>
    <w:rsid w:val="0073679E"/>
    <w:rsid w:val="007758E6"/>
    <w:rsid w:val="007834CA"/>
    <w:rsid w:val="00783CE4"/>
    <w:rsid w:val="007857EE"/>
    <w:rsid w:val="007871B2"/>
    <w:rsid w:val="00791866"/>
    <w:rsid w:val="00792288"/>
    <w:rsid w:val="00796AA8"/>
    <w:rsid w:val="00797C4F"/>
    <w:rsid w:val="007A34A0"/>
    <w:rsid w:val="007A7B7E"/>
    <w:rsid w:val="007A7E00"/>
    <w:rsid w:val="007B19CB"/>
    <w:rsid w:val="007C36AF"/>
    <w:rsid w:val="008031D5"/>
    <w:rsid w:val="008108FB"/>
    <w:rsid w:val="00821AE6"/>
    <w:rsid w:val="00823CAA"/>
    <w:rsid w:val="00843022"/>
    <w:rsid w:val="008741EE"/>
    <w:rsid w:val="008808E2"/>
    <w:rsid w:val="00882900"/>
    <w:rsid w:val="0088376F"/>
    <w:rsid w:val="0089088C"/>
    <w:rsid w:val="008B1227"/>
    <w:rsid w:val="008D1F3F"/>
    <w:rsid w:val="008E589A"/>
    <w:rsid w:val="00903A75"/>
    <w:rsid w:val="009043D1"/>
    <w:rsid w:val="0091033C"/>
    <w:rsid w:val="00914CBF"/>
    <w:rsid w:val="00917CE5"/>
    <w:rsid w:val="009211A4"/>
    <w:rsid w:val="009424E7"/>
    <w:rsid w:val="00942A8F"/>
    <w:rsid w:val="00946462"/>
    <w:rsid w:val="00947640"/>
    <w:rsid w:val="00950D64"/>
    <w:rsid w:val="0096634D"/>
    <w:rsid w:val="00967DFD"/>
    <w:rsid w:val="00972E06"/>
    <w:rsid w:val="009A0AD9"/>
    <w:rsid w:val="009A40EA"/>
    <w:rsid w:val="009A459C"/>
    <w:rsid w:val="009C0749"/>
    <w:rsid w:val="009D67DB"/>
    <w:rsid w:val="009E6619"/>
    <w:rsid w:val="009F6210"/>
    <w:rsid w:val="00A053DF"/>
    <w:rsid w:val="00A06CFF"/>
    <w:rsid w:val="00A27277"/>
    <w:rsid w:val="00A322D5"/>
    <w:rsid w:val="00A41CE2"/>
    <w:rsid w:val="00A443F0"/>
    <w:rsid w:val="00A503DB"/>
    <w:rsid w:val="00A54C71"/>
    <w:rsid w:val="00A63886"/>
    <w:rsid w:val="00A72C4A"/>
    <w:rsid w:val="00A7602B"/>
    <w:rsid w:val="00A76E09"/>
    <w:rsid w:val="00A771A3"/>
    <w:rsid w:val="00A92A92"/>
    <w:rsid w:val="00A9461B"/>
    <w:rsid w:val="00A94DE5"/>
    <w:rsid w:val="00A94EFE"/>
    <w:rsid w:val="00AB6359"/>
    <w:rsid w:val="00AD5FB8"/>
    <w:rsid w:val="00AE0675"/>
    <w:rsid w:val="00AF2D1C"/>
    <w:rsid w:val="00AF54B5"/>
    <w:rsid w:val="00B01D5B"/>
    <w:rsid w:val="00B15BB0"/>
    <w:rsid w:val="00B26C8D"/>
    <w:rsid w:val="00B44F28"/>
    <w:rsid w:val="00B61595"/>
    <w:rsid w:val="00BA16DB"/>
    <w:rsid w:val="00BA2ABD"/>
    <w:rsid w:val="00BB082D"/>
    <w:rsid w:val="00BB1762"/>
    <w:rsid w:val="00BB5FF6"/>
    <w:rsid w:val="00BB77B9"/>
    <w:rsid w:val="00BC1154"/>
    <w:rsid w:val="00BC22CD"/>
    <w:rsid w:val="00BD17DE"/>
    <w:rsid w:val="00BE7D5D"/>
    <w:rsid w:val="00C025D3"/>
    <w:rsid w:val="00C2543E"/>
    <w:rsid w:val="00C26F77"/>
    <w:rsid w:val="00C40DC7"/>
    <w:rsid w:val="00C431E2"/>
    <w:rsid w:val="00C51D78"/>
    <w:rsid w:val="00C578FE"/>
    <w:rsid w:val="00C67087"/>
    <w:rsid w:val="00C7050A"/>
    <w:rsid w:val="00C75CE6"/>
    <w:rsid w:val="00C86689"/>
    <w:rsid w:val="00C86E13"/>
    <w:rsid w:val="00C874BE"/>
    <w:rsid w:val="00C94D83"/>
    <w:rsid w:val="00CA59F3"/>
    <w:rsid w:val="00CB2B00"/>
    <w:rsid w:val="00CB3349"/>
    <w:rsid w:val="00CE5CAE"/>
    <w:rsid w:val="00D05806"/>
    <w:rsid w:val="00D075F4"/>
    <w:rsid w:val="00D07960"/>
    <w:rsid w:val="00D15F96"/>
    <w:rsid w:val="00D23831"/>
    <w:rsid w:val="00D34A0D"/>
    <w:rsid w:val="00D41E65"/>
    <w:rsid w:val="00D4296A"/>
    <w:rsid w:val="00D53D56"/>
    <w:rsid w:val="00D57317"/>
    <w:rsid w:val="00D60545"/>
    <w:rsid w:val="00D652CF"/>
    <w:rsid w:val="00D91CF8"/>
    <w:rsid w:val="00D91F16"/>
    <w:rsid w:val="00D947E0"/>
    <w:rsid w:val="00DA54D0"/>
    <w:rsid w:val="00DB0829"/>
    <w:rsid w:val="00DD4D7F"/>
    <w:rsid w:val="00DE083E"/>
    <w:rsid w:val="00DE4E66"/>
    <w:rsid w:val="00E06313"/>
    <w:rsid w:val="00E06ABB"/>
    <w:rsid w:val="00E12E3D"/>
    <w:rsid w:val="00E15930"/>
    <w:rsid w:val="00E16281"/>
    <w:rsid w:val="00E258AE"/>
    <w:rsid w:val="00E7224F"/>
    <w:rsid w:val="00E8179F"/>
    <w:rsid w:val="00E84A60"/>
    <w:rsid w:val="00E95241"/>
    <w:rsid w:val="00E974CB"/>
    <w:rsid w:val="00EE0EB6"/>
    <w:rsid w:val="00EF7699"/>
    <w:rsid w:val="00F13A13"/>
    <w:rsid w:val="00F141C5"/>
    <w:rsid w:val="00F3059F"/>
    <w:rsid w:val="00F30965"/>
    <w:rsid w:val="00F3698F"/>
    <w:rsid w:val="00F4401D"/>
    <w:rsid w:val="00F45D32"/>
    <w:rsid w:val="00F523E6"/>
    <w:rsid w:val="00F61727"/>
    <w:rsid w:val="00F85026"/>
    <w:rsid w:val="00F92E19"/>
    <w:rsid w:val="00FA14AA"/>
    <w:rsid w:val="00FC2854"/>
    <w:rsid w:val="00FC4315"/>
    <w:rsid w:val="00FC6C48"/>
    <w:rsid w:val="00FE26FD"/>
    <w:rsid w:val="00FE74BF"/>
    <w:rsid w:val="00FF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82D6A7"/>
  <w15:chartTrackingRefBased/>
  <w15:docId w15:val="{A5CC415A-2476-B04B-A7FA-6E99526A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D1C"/>
    <w:pPr>
      <w:overflowPunct w:val="0"/>
      <w:autoSpaceDE w:val="0"/>
      <w:autoSpaceDN w:val="0"/>
      <w:adjustRightInd w:val="0"/>
      <w:spacing w:line="240" w:lineRule="atLeast"/>
      <w:ind w:firstLine="227"/>
      <w:jc w:val="both"/>
      <w:textAlignment w:val="baseline"/>
    </w:pPr>
    <w:rPr>
      <w:lang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55F7F"/>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character" w:styleId="UnresolvedMention">
    <w:name w:val="Unresolved Mention"/>
    <w:basedOn w:val="DefaultParagraphFont"/>
    <w:uiPriority w:val="99"/>
    <w:semiHidden/>
    <w:unhideWhenUsed/>
    <w:rsid w:val="00AF2D1C"/>
    <w:rPr>
      <w:color w:val="605E5C"/>
      <w:shd w:val="clear" w:color="auto" w:fill="E1DFDD"/>
    </w:rPr>
  </w:style>
  <w:style w:type="character" w:styleId="CommentReference">
    <w:name w:val="annotation reference"/>
    <w:basedOn w:val="DefaultParagraphFont"/>
    <w:rsid w:val="002E778B"/>
    <w:rPr>
      <w:sz w:val="16"/>
      <w:szCs w:val="16"/>
    </w:rPr>
  </w:style>
  <w:style w:type="paragraph" w:styleId="CommentText">
    <w:name w:val="annotation text"/>
    <w:basedOn w:val="Normal"/>
    <w:link w:val="CommentTextChar"/>
    <w:rsid w:val="002E778B"/>
    <w:pPr>
      <w:spacing w:line="240" w:lineRule="auto"/>
    </w:pPr>
  </w:style>
  <w:style w:type="character" w:customStyle="1" w:styleId="CommentTextChar">
    <w:name w:val="Comment Text Char"/>
    <w:basedOn w:val="DefaultParagraphFont"/>
    <w:link w:val="CommentText"/>
    <w:rsid w:val="002E778B"/>
    <w:rPr>
      <w:lang w:eastAsia="de-DE"/>
    </w:rPr>
  </w:style>
  <w:style w:type="paragraph" w:styleId="CommentSubject">
    <w:name w:val="annotation subject"/>
    <w:basedOn w:val="CommentText"/>
    <w:next w:val="CommentText"/>
    <w:link w:val="CommentSubjectChar"/>
    <w:rsid w:val="002E778B"/>
    <w:rPr>
      <w:b/>
      <w:bCs/>
    </w:rPr>
  </w:style>
  <w:style w:type="character" w:customStyle="1" w:styleId="CommentSubjectChar">
    <w:name w:val="Comment Subject Char"/>
    <w:basedOn w:val="CommentTextChar"/>
    <w:link w:val="CommentSubject"/>
    <w:rsid w:val="002E778B"/>
    <w:rPr>
      <w:b/>
      <w:bCs/>
      <w:lang w:eastAsia="de-DE"/>
    </w:rPr>
  </w:style>
  <w:style w:type="paragraph" w:styleId="NormalWeb">
    <w:name w:val="Normal (Web)"/>
    <w:basedOn w:val="Normal"/>
    <w:uiPriority w:val="99"/>
    <w:unhideWhenUsed/>
    <w:rsid w:val="00721123"/>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character" w:styleId="Strong">
    <w:name w:val="Strong"/>
    <w:basedOn w:val="DefaultParagraphFont"/>
    <w:uiPriority w:val="22"/>
    <w:qFormat/>
    <w:rsid w:val="00E06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266">
      <w:bodyDiv w:val="1"/>
      <w:marLeft w:val="0"/>
      <w:marRight w:val="0"/>
      <w:marTop w:val="0"/>
      <w:marBottom w:val="0"/>
      <w:divBdr>
        <w:top w:val="none" w:sz="0" w:space="0" w:color="auto"/>
        <w:left w:val="none" w:sz="0" w:space="0" w:color="auto"/>
        <w:bottom w:val="none" w:sz="0" w:space="0" w:color="auto"/>
        <w:right w:val="none" w:sz="0" w:space="0" w:color="auto"/>
      </w:divBdr>
    </w:div>
    <w:div w:id="169299798">
      <w:bodyDiv w:val="1"/>
      <w:marLeft w:val="0"/>
      <w:marRight w:val="0"/>
      <w:marTop w:val="0"/>
      <w:marBottom w:val="0"/>
      <w:divBdr>
        <w:top w:val="none" w:sz="0" w:space="0" w:color="auto"/>
        <w:left w:val="none" w:sz="0" w:space="0" w:color="auto"/>
        <w:bottom w:val="none" w:sz="0" w:space="0" w:color="auto"/>
        <w:right w:val="none" w:sz="0" w:space="0" w:color="auto"/>
      </w:divBdr>
    </w:div>
    <w:div w:id="252472425">
      <w:bodyDiv w:val="1"/>
      <w:marLeft w:val="0"/>
      <w:marRight w:val="0"/>
      <w:marTop w:val="0"/>
      <w:marBottom w:val="0"/>
      <w:divBdr>
        <w:top w:val="none" w:sz="0" w:space="0" w:color="auto"/>
        <w:left w:val="none" w:sz="0" w:space="0" w:color="auto"/>
        <w:bottom w:val="none" w:sz="0" w:space="0" w:color="auto"/>
        <w:right w:val="none" w:sz="0" w:space="0" w:color="auto"/>
      </w:divBdr>
    </w:div>
    <w:div w:id="301159638">
      <w:bodyDiv w:val="1"/>
      <w:marLeft w:val="0"/>
      <w:marRight w:val="0"/>
      <w:marTop w:val="0"/>
      <w:marBottom w:val="0"/>
      <w:divBdr>
        <w:top w:val="none" w:sz="0" w:space="0" w:color="auto"/>
        <w:left w:val="none" w:sz="0" w:space="0" w:color="auto"/>
        <w:bottom w:val="none" w:sz="0" w:space="0" w:color="auto"/>
        <w:right w:val="none" w:sz="0" w:space="0" w:color="auto"/>
      </w:divBdr>
    </w:div>
    <w:div w:id="326711601">
      <w:bodyDiv w:val="1"/>
      <w:marLeft w:val="0"/>
      <w:marRight w:val="0"/>
      <w:marTop w:val="0"/>
      <w:marBottom w:val="0"/>
      <w:divBdr>
        <w:top w:val="none" w:sz="0" w:space="0" w:color="auto"/>
        <w:left w:val="none" w:sz="0" w:space="0" w:color="auto"/>
        <w:bottom w:val="none" w:sz="0" w:space="0" w:color="auto"/>
        <w:right w:val="none" w:sz="0" w:space="0" w:color="auto"/>
      </w:divBdr>
    </w:div>
    <w:div w:id="580480720">
      <w:bodyDiv w:val="1"/>
      <w:marLeft w:val="0"/>
      <w:marRight w:val="0"/>
      <w:marTop w:val="0"/>
      <w:marBottom w:val="0"/>
      <w:divBdr>
        <w:top w:val="none" w:sz="0" w:space="0" w:color="auto"/>
        <w:left w:val="none" w:sz="0" w:space="0" w:color="auto"/>
        <w:bottom w:val="none" w:sz="0" w:space="0" w:color="auto"/>
        <w:right w:val="none" w:sz="0" w:space="0" w:color="auto"/>
      </w:divBdr>
    </w:div>
    <w:div w:id="599531661">
      <w:bodyDiv w:val="1"/>
      <w:marLeft w:val="0"/>
      <w:marRight w:val="0"/>
      <w:marTop w:val="0"/>
      <w:marBottom w:val="0"/>
      <w:divBdr>
        <w:top w:val="none" w:sz="0" w:space="0" w:color="auto"/>
        <w:left w:val="none" w:sz="0" w:space="0" w:color="auto"/>
        <w:bottom w:val="none" w:sz="0" w:space="0" w:color="auto"/>
        <w:right w:val="none" w:sz="0" w:space="0" w:color="auto"/>
      </w:divBdr>
    </w:div>
    <w:div w:id="615450790">
      <w:bodyDiv w:val="1"/>
      <w:marLeft w:val="0"/>
      <w:marRight w:val="0"/>
      <w:marTop w:val="0"/>
      <w:marBottom w:val="0"/>
      <w:divBdr>
        <w:top w:val="none" w:sz="0" w:space="0" w:color="auto"/>
        <w:left w:val="none" w:sz="0" w:space="0" w:color="auto"/>
        <w:bottom w:val="none" w:sz="0" w:space="0" w:color="auto"/>
        <w:right w:val="none" w:sz="0" w:space="0" w:color="auto"/>
      </w:divBdr>
    </w:div>
    <w:div w:id="991982686">
      <w:bodyDiv w:val="1"/>
      <w:marLeft w:val="0"/>
      <w:marRight w:val="0"/>
      <w:marTop w:val="0"/>
      <w:marBottom w:val="0"/>
      <w:divBdr>
        <w:top w:val="none" w:sz="0" w:space="0" w:color="auto"/>
        <w:left w:val="none" w:sz="0" w:space="0" w:color="auto"/>
        <w:bottom w:val="none" w:sz="0" w:space="0" w:color="auto"/>
        <w:right w:val="none" w:sz="0" w:space="0" w:color="auto"/>
      </w:divBdr>
    </w:div>
    <w:div w:id="1257179264">
      <w:bodyDiv w:val="1"/>
      <w:marLeft w:val="0"/>
      <w:marRight w:val="0"/>
      <w:marTop w:val="0"/>
      <w:marBottom w:val="0"/>
      <w:divBdr>
        <w:top w:val="none" w:sz="0" w:space="0" w:color="auto"/>
        <w:left w:val="none" w:sz="0" w:space="0" w:color="auto"/>
        <w:bottom w:val="none" w:sz="0" w:space="0" w:color="auto"/>
        <w:right w:val="none" w:sz="0" w:space="0" w:color="auto"/>
      </w:divBdr>
    </w:div>
    <w:div w:id="14902913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arxiv.org/abs/1104.3913" TargetMode="External"/><Relationship Id="rId3" Type="http://schemas.openxmlformats.org/officeDocument/2006/relationships/settings" Target="settings.xml"/><Relationship Id="rId21" Type="http://schemas.openxmlformats.org/officeDocument/2006/relationships/hyperlink" Target="https://proceedings.mlr.press/v28/zemel13.html"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www.nber.org/papers/w26178" TargetMode="External"/><Relationship Id="rId2" Type="http://schemas.openxmlformats.org/officeDocument/2006/relationships/styles" Target="styles.xml"/><Relationship Id="rId16" Type="http://schemas.openxmlformats.org/officeDocument/2006/relationships/hyperlink" Target="http://arxiv.org/abs/1610.02413" TargetMode="External"/><Relationship Id="rId20" Type="http://schemas.openxmlformats.org/officeDocument/2006/relationships/hyperlink" Target="https://arxiv.org/pdf/2208.1045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arxiv.org/abs/1901.10002"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obford/Downloads/Microsoft+Word+2003+Proceedings+Templates%20(1)/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21</TotalTime>
  <Pages>15</Pages>
  <Words>2881</Words>
  <Characters>16426</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Jacob Ford</dc:creator>
  <cp:keywords/>
  <dc:description/>
  <cp:lastModifiedBy>Jacob Ford</cp:lastModifiedBy>
  <cp:revision>21</cp:revision>
  <cp:lastPrinted>2011-02-21T22:47:00Z</cp:lastPrinted>
  <dcterms:created xsi:type="dcterms:W3CDTF">2024-07-08T15:32:00Z</dcterms:created>
  <dcterms:modified xsi:type="dcterms:W3CDTF">2024-07-08T16:02:00Z</dcterms:modified>
</cp:coreProperties>
</file>