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C7C8" w14:textId="1E1316A0" w:rsidR="21F16121" w:rsidRDefault="21F16121" w:rsidP="00DD070E">
      <w:pPr>
        <w:pStyle w:val="Title"/>
        <w:spacing w:line="300" w:lineRule="auto"/>
      </w:pPr>
    </w:p>
    <w:p w14:paraId="017F0ED1" w14:textId="3190EBE3" w:rsidR="21F16121" w:rsidRDefault="21F16121" w:rsidP="00DD070E">
      <w:pPr>
        <w:pStyle w:val="Title"/>
        <w:spacing w:line="300" w:lineRule="auto"/>
        <w:rPr>
          <w:rFonts w:ascii="Cambria" w:eastAsia="SimSun" w:hAnsi="Cambria" w:cs="Times New Roman"/>
        </w:rPr>
      </w:pPr>
    </w:p>
    <w:p w14:paraId="6E4D9135" w14:textId="4954DAFB" w:rsidR="21F16121" w:rsidRDefault="21F16121" w:rsidP="00DD070E">
      <w:pPr>
        <w:pStyle w:val="Title"/>
        <w:spacing w:line="300" w:lineRule="auto"/>
      </w:pPr>
    </w:p>
    <w:p w14:paraId="3D3E821E" w14:textId="0F9A3900" w:rsidR="01037549" w:rsidRDefault="01037549" w:rsidP="00DD070E">
      <w:pPr>
        <w:pStyle w:val="Title"/>
        <w:spacing w:line="300" w:lineRule="auto"/>
        <w:jc w:val="center"/>
      </w:pPr>
      <w:r>
        <w:t>Digi</w:t>
      </w:r>
      <w:r w:rsidR="00211052">
        <w:t>K</w:t>
      </w:r>
      <w:r>
        <w:t>night</w:t>
      </w:r>
      <w:r w:rsidR="00211052">
        <w:t xml:space="preserve"> Technologies, Inc.</w:t>
      </w:r>
    </w:p>
    <w:p w14:paraId="383C498C" w14:textId="0698CDC3" w:rsidR="587A54AD" w:rsidRDefault="587A54AD" w:rsidP="00DD070E">
      <w:pPr>
        <w:spacing w:line="300" w:lineRule="auto"/>
      </w:pPr>
    </w:p>
    <w:p w14:paraId="6478DAA6" w14:textId="2D2D72BC" w:rsidR="0063600C" w:rsidRDefault="007E74BC" w:rsidP="00DD070E">
      <w:pPr>
        <w:pStyle w:val="Title"/>
        <w:spacing w:line="300" w:lineRule="auto"/>
        <w:jc w:val="center"/>
        <w:rPr>
          <w:rFonts w:ascii="Cambria" w:eastAsia="SimSun" w:hAnsi="Cambria" w:cs="Times New Roman"/>
          <w:i/>
          <w:iCs/>
          <w:color w:val="404040" w:themeColor="text1" w:themeTint="BF"/>
        </w:rPr>
      </w:pPr>
      <w:r>
        <w:t>Incident Response Plan</w:t>
      </w:r>
    </w:p>
    <w:p w14:paraId="038F8724" w14:textId="6944FC41" w:rsidR="21F16121" w:rsidRDefault="21F16121" w:rsidP="00DD070E">
      <w:pPr>
        <w:spacing w:line="300" w:lineRule="auto"/>
        <w:jc w:val="center"/>
      </w:pPr>
    </w:p>
    <w:p w14:paraId="6A921445" w14:textId="5272E4C5" w:rsidR="21F16121" w:rsidRDefault="21F16121" w:rsidP="00DD070E">
      <w:pPr>
        <w:spacing w:line="300" w:lineRule="auto"/>
        <w:jc w:val="center"/>
      </w:pPr>
    </w:p>
    <w:p w14:paraId="318E40A9" w14:textId="4366FB41" w:rsidR="21F16121" w:rsidRDefault="21F16121" w:rsidP="00DD070E">
      <w:pPr>
        <w:spacing w:line="300" w:lineRule="auto"/>
        <w:jc w:val="center"/>
      </w:pPr>
    </w:p>
    <w:p w14:paraId="6A5B2EF3" w14:textId="01E88BF0" w:rsidR="21F16121" w:rsidRDefault="21F16121" w:rsidP="00DD070E">
      <w:pPr>
        <w:spacing w:line="300" w:lineRule="auto"/>
        <w:jc w:val="center"/>
      </w:pPr>
    </w:p>
    <w:p w14:paraId="5543C572" w14:textId="109CF6E8" w:rsidR="21F16121" w:rsidRDefault="21F16121" w:rsidP="00DD070E">
      <w:pPr>
        <w:pStyle w:val="Subtitle"/>
        <w:spacing w:line="300" w:lineRule="auto"/>
        <w:jc w:val="center"/>
        <w:rPr>
          <w:color w:val="5A5A5A"/>
        </w:rPr>
      </w:pPr>
    </w:p>
    <w:p w14:paraId="55F0E6C2" w14:textId="4FF7CC56" w:rsidR="1591AAEF" w:rsidRDefault="1591AAEF" w:rsidP="00DD070E">
      <w:pPr>
        <w:pStyle w:val="Subtitle"/>
        <w:spacing w:line="300" w:lineRule="auto"/>
        <w:jc w:val="center"/>
        <w:rPr>
          <w:b/>
          <w:bCs/>
          <w:color w:val="5A5A5A"/>
        </w:rPr>
      </w:pPr>
      <w:r w:rsidRPr="587A54AD">
        <w:rPr>
          <w:b/>
          <w:bCs/>
        </w:rPr>
        <w:t xml:space="preserve">Version: </w:t>
      </w:r>
      <w:r w:rsidR="004A3B87">
        <w:rPr>
          <w:b/>
          <w:bCs/>
        </w:rPr>
        <w:t>v</w:t>
      </w:r>
      <w:r w:rsidRPr="587A54AD">
        <w:rPr>
          <w:b/>
          <w:bCs/>
        </w:rPr>
        <w:t>0.</w:t>
      </w:r>
      <w:r w:rsidR="000C5179">
        <w:rPr>
          <w:b/>
          <w:bCs/>
        </w:rPr>
        <w:t>6</w:t>
      </w:r>
    </w:p>
    <w:p w14:paraId="261596C7" w14:textId="38490245" w:rsidR="1C3D6718" w:rsidRDefault="1C3D6718" w:rsidP="00DD070E">
      <w:pPr>
        <w:pStyle w:val="Subtitle"/>
        <w:spacing w:line="300" w:lineRule="auto"/>
        <w:jc w:val="center"/>
        <w:rPr>
          <w:b/>
          <w:bCs/>
        </w:rPr>
      </w:pPr>
      <w:r w:rsidRPr="587A54AD">
        <w:rPr>
          <w:b/>
          <w:bCs/>
        </w:rPr>
        <w:t xml:space="preserve">Updated: </w:t>
      </w:r>
      <w:r w:rsidR="00F3469E">
        <w:rPr>
          <w:b/>
          <w:bCs/>
        </w:rPr>
        <w:t>12</w:t>
      </w:r>
      <w:r w:rsidRPr="587A54AD">
        <w:rPr>
          <w:b/>
          <w:bCs/>
        </w:rPr>
        <w:t>/</w:t>
      </w:r>
      <w:r w:rsidR="00F3469E">
        <w:rPr>
          <w:b/>
          <w:bCs/>
        </w:rPr>
        <w:t>1</w:t>
      </w:r>
      <w:r w:rsidR="000C5179">
        <w:rPr>
          <w:b/>
          <w:bCs/>
        </w:rPr>
        <w:t>2</w:t>
      </w:r>
      <w:r w:rsidRPr="587A54AD">
        <w:rPr>
          <w:b/>
          <w:bCs/>
        </w:rPr>
        <w:t>/2021</w:t>
      </w:r>
    </w:p>
    <w:p w14:paraId="115F4B0A" w14:textId="77777777" w:rsidR="00E144C2" w:rsidRPr="00E144C2" w:rsidRDefault="00E144C2" w:rsidP="00DD070E">
      <w:pPr>
        <w:spacing w:line="300" w:lineRule="auto"/>
      </w:pPr>
    </w:p>
    <w:p w14:paraId="11338289" w14:textId="699FE1C0" w:rsidR="007E74BC" w:rsidRDefault="007E74BC" w:rsidP="00DD070E">
      <w:pPr>
        <w:pStyle w:val="Subtitle"/>
        <w:spacing w:line="300" w:lineRule="auto"/>
        <w:jc w:val="center"/>
        <w:rPr>
          <w:b/>
          <w:bCs/>
        </w:rPr>
      </w:pPr>
      <w:r w:rsidRPr="587A54AD">
        <w:rPr>
          <w:b/>
          <w:bCs/>
        </w:rPr>
        <w:t>MS511 Group 2</w:t>
      </w:r>
    </w:p>
    <w:p w14:paraId="15C03774" w14:textId="65027FA0" w:rsidR="007E74BC" w:rsidRDefault="007E74BC" w:rsidP="00DD070E">
      <w:pPr>
        <w:pStyle w:val="Subtitle"/>
        <w:spacing w:line="300" w:lineRule="auto"/>
        <w:jc w:val="center"/>
      </w:pPr>
      <w:r w:rsidRPr="587A54AD">
        <w:t>Kendall Boone</w:t>
      </w:r>
    </w:p>
    <w:p w14:paraId="63718A76" w14:textId="3F0F8370" w:rsidR="007E74BC" w:rsidRDefault="007E74BC" w:rsidP="00DD070E">
      <w:pPr>
        <w:pStyle w:val="Subtitle"/>
        <w:spacing w:line="300" w:lineRule="auto"/>
        <w:jc w:val="center"/>
        <w:rPr>
          <w:color w:val="5A5A5A"/>
        </w:rPr>
      </w:pPr>
      <w:r w:rsidRPr="587A54AD">
        <w:t>Kyle Carver</w:t>
      </w:r>
    </w:p>
    <w:p w14:paraId="180853C1" w14:textId="628C7A0E" w:rsidR="007E74BC" w:rsidRDefault="007E74BC" w:rsidP="00DD070E">
      <w:pPr>
        <w:pStyle w:val="Subtitle"/>
        <w:spacing w:line="300" w:lineRule="auto"/>
        <w:jc w:val="center"/>
        <w:rPr>
          <w:color w:val="5A5A5A"/>
        </w:rPr>
      </w:pPr>
      <w:r w:rsidRPr="587A54AD">
        <w:t>Jake O’Connor</w:t>
      </w:r>
    </w:p>
    <w:p w14:paraId="03D0B865" w14:textId="2299BE69" w:rsidR="007E74BC" w:rsidRDefault="007E74BC" w:rsidP="00DD070E">
      <w:pPr>
        <w:pStyle w:val="Subtitle"/>
        <w:spacing w:line="300" w:lineRule="auto"/>
        <w:jc w:val="center"/>
        <w:rPr>
          <w:color w:val="5A5A5A"/>
        </w:rPr>
      </w:pPr>
      <w:r w:rsidRPr="587A54AD">
        <w:t>Cody Pritchett</w:t>
      </w:r>
    </w:p>
    <w:p w14:paraId="231D6F3E" w14:textId="1B566A76" w:rsidR="46D9A8F6" w:rsidRDefault="46D9A8F6" w:rsidP="00DD070E">
      <w:pPr>
        <w:pStyle w:val="Subtitle"/>
        <w:spacing w:line="300" w:lineRule="auto"/>
        <w:jc w:val="center"/>
        <w:rPr>
          <w:color w:val="5A5A5A"/>
        </w:rPr>
      </w:pPr>
      <w:r>
        <w:t>Tamonica Russell</w:t>
      </w:r>
    </w:p>
    <w:p w14:paraId="7D26A7A8" w14:textId="6FD3316E" w:rsidR="00FF1F55" w:rsidRDefault="6B44597A" w:rsidP="00DD070E">
      <w:pPr>
        <w:spacing w:line="300" w:lineRule="auto"/>
      </w:pPr>
      <w:r>
        <w:br w:type="page"/>
      </w:r>
    </w:p>
    <w:p w14:paraId="6BC5C1AF" w14:textId="61D66D21" w:rsidR="00CE55C9" w:rsidRPr="00CE55C9" w:rsidRDefault="004840C9" w:rsidP="00DD070E">
      <w:pPr>
        <w:pStyle w:val="Title"/>
        <w:spacing w:line="300" w:lineRule="auto"/>
        <w:jc w:val="center"/>
        <w:rPr>
          <w:rStyle w:val="Emphasis"/>
          <w:i w:val="0"/>
          <w:iCs w:val="0"/>
        </w:rPr>
      </w:pPr>
      <w:r>
        <w:lastRenderedPageBreak/>
        <w:t>Change Log</w:t>
      </w:r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1965"/>
        <w:gridCol w:w="7119"/>
        <w:gridCol w:w="1932"/>
      </w:tblGrid>
      <w:tr w:rsidR="007F38C2" w:rsidRPr="003B16BD" w14:paraId="36779E56" w14:textId="77777777" w:rsidTr="000C0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pct"/>
            <w:tcBorders>
              <w:bottom w:val="single" w:sz="4" w:space="0" w:color="4F81BD" w:themeColor="accent1"/>
            </w:tcBorders>
          </w:tcPr>
          <w:p w14:paraId="3AD4074D" w14:textId="6CA6CCC7" w:rsidR="00FF1F55" w:rsidRPr="003B16BD" w:rsidRDefault="006D3E70" w:rsidP="00DD070E">
            <w:pPr>
              <w:spacing w:line="300" w:lineRule="auto"/>
            </w:pPr>
            <w:r>
              <w:t xml:space="preserve">Date </w:t>
            </w:r>
            <w:r w:rsidR="003A688C">
              <w:t>-</w:t>
            </w:r>
            <w:r>
              <w:t xml:space="preserve"> Version</w:t>
            </w:r>
          </w:p>
        </w:tc>
        <w:tc>
          <w:tcPr>
            <w:tcW w:w="3231" w:type="pct"/>
            <w:tcBorders>
              <w:bottom w:val="single" w:sz="4" w:space="0" w:color="4F81BD" w:themeColor="accent1"/>
            </w:tcBorders>
          </w:tcPr>
          <w:p w14:paraId="7328EECF" w14:textId="493B3D17" w:rsidR="00FF1F55" w:rsidRPr="003B16BD" w:rsidRDefault="006D3E70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</w:tcPr>
          <w:p w14:paraId="045E733D" w14:textId="67ECCC8E" w:rsidR="00FF1F55" w:rsidRPr="003B16BD" w:rsidRDefault="006D3E70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050389" w14:paraId="0C2D094D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6022568" w14:textId="73AFFAA9" w:rsidR="00FF1F55" w:rsidRPr="00A012C6" w:rsidRDefault="003A688C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11/10/2021 - v0.1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B61CA4B" w14:textId="4CF885BF" w:rsidR="00FF1F55" w:rsidRPr="006D3E70" w:rsidRDefault="00947AC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document format.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19A6BF9" w14:textId="5A636CE9" w:rsidR="00FF1F55" w:rsidRPr="00A012C6" w:rsidRDefault="00947AC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050389" w14:paraId="303C799F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DFEB4E8" w14:textId="25B3291C" w:rsidR="009904AC" w:rsidRDefault="009904AC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11/12/2021 - v0.2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A4ABF7F" w14:textId="77777777" w:rsidR="009904AC" w:rsidRDefault="009904AC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Populated introduction section.</w:t>
            </w:r>
          </w:p>
          <w:p w14:paraId="0C8ADD69" w14:textId="77777777" w:rsidR="002F43BB" w:rsidRDefault="002F43BB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Populated roles and responsibilities section.</w:t>
            </w:r>
          </w:p>
          <w:p w14:paraId="0F6F0545" w14:textId="3DFD285B" w:rsidR="00680CB8" w:rsidRDefault="00680CB8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Populated incident category section.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129EB81" w14:textId="1145C5DD" w:rsidR="009904AC" w:rsidRDefault="009904AC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0C07E3" w14:paraId="3E9A6040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34CA7DD" w14:textId="52DB3846" w:rsidR="001A12F0" w:rsidRDefault="0072344D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</w:t>
            </w:r>
            <w:r w:rsidR="0023093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/2021 </w:t>
            </w:r>
            <w:r w:rsidR="00A7725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v0.3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A1E0C4B" w14:textId="77777777" w:rsidR="001A12F0" w:rsidRDefault="009421B8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formatting.</w:t>
            </w:r>
          </w:p>
          <w:p w14:paraId="2ED0836E" w14:textId="128BD95A" w:rsidR="00A43BCB" w:rsidRDefault="00A43BC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04EEB02" w14:textId="69AA0A22" w:rsidR="001A12F0" w:rsidRDefault="0072344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1A12F0" w14:paraId="28D67D99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5F5BB52" w14:textId="753E41AE" w:rsidR="001A12F0" w:rsidRDefault="000635DD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11/22/2021 - v0.4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F1FF0D7" w14:textId="7820FD74" w:rsidR="001A12F0" w:rsidRDefault="00636A4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Filling risk assessment and </w:t>
            </w:r>
            <w:r w:rsidR="007E201E">
              <w:rPr>
                <w:sz w:val="20"/>
                <w:szCs w:val="20"/>
              </w:rPr>
              <w:t>critical functions.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767167C" w14:textId="4AFFC07B" w:rsidR="001A12F0" w:rsidRDefault="007E201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0C07E3" w14:paraId="11951B16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92E2462" w14:textId="79A544DE" w:rsidR="001A12F0" w:rsidRDefault="00F3469E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12/11/2021 - v0.5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9F9A755" w14:textId="77777777" w:rsidR="001A12F0" w:rsidRDefault="00D2113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Incident Response Steps.</w:t>
            </w:r>
          </w:p>
          <w:p w14:paraId="5A369F2A" w14:textId="34D96ECB" w:rsidR="00DD070E" w:rsidRDefault="00DD070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and normalized formatting.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C84E6BF" w14:textId="12931E8E" w:rsidR="001A12F0" w:rsidRDefault="00F3469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1A12F0" w14:paraId="629EABC9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1A67BD5" w14:textId="73BF2153" w:rsidR="001A12F0" w:rsidRDefault="000C5179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12/12/2021 - v0.6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AE97FE9" w14:textId="38CA0FDA" w:rsidR="001A12F0" w:rsidRDefault="000C5179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Security Risk Assessment with team mitigation tactics.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ADCC5D7" w14:textId="47DF543B" w:rsidR="001A12F0" w:rsidRDefault="000C5179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0C07E3" w14:paraId="4016C58E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CCCD9AF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9C7C7E5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04C744E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5D3BDA69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E5F67C4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D1CA2D7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EA00DBC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07E3" w14:paraId="51B42850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5E0F9C9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2DB95B8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D0B9DDE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23164BC3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F5517CE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E7F2FB2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055B539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07E3" w14:paraId="46A994C6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BDA862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FF1A944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4F784AD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14AAADE8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F1BB78C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55D3553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3D38538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07E3" w14:paraId="5B59F3D1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5745A90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BC306AC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3E3F5D1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59D87FE1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8D523A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1988816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3A98823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69D18DD2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2E6D250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C1EE64E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87634B9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0760" w14:paraId="252B4C43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</w:tcBorders>
          </w:tcPr>
          <w:p w14:paraId="2D06E0FD" w14:textId="77777777" w:rsidR="004F0760" w:rsidRDefault="004F076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</w:tcBorders>
          </w:tcPr>
          <w:p w14:paraId="7BF20493" w14:textId="77777777" w:rsidR="004F0760" w:rsidRDefault="004F076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</w:tcBorders>
          </w:tcPr>
          <w:p w14:paraId="0EA6843A" w14:textId="77777777" w:rsidR="004F0760" w:rsidRDefault="004F076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985862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6B4AF" w14:textId="487D03B1" w:rsidR="00663F57" w:rsidRDefault="00663F57" w:rsidP="00DD070E">
          <w:pPr>
            <w:pStyle w:val="TOCHeading"/>
            <w:spacing w:line="300" w:lineRule="auto"/>
          </w:pPr>
          <w:r>
            <w:t>Contents</w:t>
          </w:r>
        </w:p>
        <w:p w14:paraId="6CAA3FDB" w14:textId="05440E15" w:rsidR="00DD070E" w:rsidRDefault="00663F57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40696" w:history="1">
            <w:r w:rsidR="00DD070E" w:rsidRPr="00837BC1">
              <w:rPr>
                <w:rStyle w:val="Hyperlink"/>
                <w:noProof/>
              </w:rPr>
              <w:t>1 Introduction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_Toc90140696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4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5A60A1A7" w14:textId="404780A7" w:rsidR="00DD070E" w:rsidRDefault="000C5179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697" w:history="1">
            <w:r w:rsidR="00DD070E" w:rsidRPr="00837BC1">
              <w:rPr>
                <w:rStyle w:val="Hyperlink"/>
                <w:noProof/>
              </w:rPr>
              <w:t>1.1 Purpose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_Toc90140697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4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48266F7D" w14:textId="477F8BF7" w:rsidR="00DD070E" w:rsidRDefault="000C5179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698" w:history="1">
            <w:r w:rsidR="00DD070E" w:rsidRPr="00837BC1">
              <w:rPr>
                <w:rStyle w:val="Hyperlink"/>
                <w:noProof/>
              </w:rPr>
              <w:t>1.2 Scope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_Toc90140698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4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058FF6DD" w14:textId="50E920E8" w:rsidR="00DD070E" w:rsidRDefault="000C5179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699" w:history="1">
            <w:r w:rsidR="00DD070E" w:rsidRPr="00837BC1">
              <w:rPr>
                <w:rStyle w:val="Hyperlink"/>
                <w:noProof/>
              </w:rPr>
              <w:t>1.3 Definitions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_Toc90140699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4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7EFE37B3" w14:textId="7295432B" w:rsidR="00DD070E" w:rsidRDefault="000C5179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0" w:history="1">
            <w:r w:rsidR="00DD070E" w:rsidRPr="00837BC1">
              <w:rPr>
                <w:rStyle w:val="Hyperlink"/>
                <w:noProof/>
              </w:rPr>
              <w:t>2 Roles and Responsibilities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_Toc90140700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5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79ABCFCD" w14:textId="6BD8C53F" w:rsidR="00DD070E" w:rsidRDefault="000C5179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1" w:history="1">
            <w:r w:rsidR="00DD070E" w:rsidRPr="00837BC1">
              <w:rPr>
                <w:rStyle w:val="Hyperlink"/>
                <w:noProof/>
              </w:rPr>
              <w:t>2.1 Team Definitions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_Toc90140701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5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4F4FDC64" w14:textId="451DC15B" w:rsidR="00DD070E" w:rsidRDefault="000C5179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2" w:history="1">
            <w:r w:rsidR="00DD070E" w:rsidRPr="00837BC1">
              <w:rPr>
                <w:rStyle w:val="Hyperlink"/>
                <w:noProof/>
              </w:rPr>
              <w:t>2.2 Incident Response Team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_Toc90140702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5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45C6B7FA" w14:textId="2702392A" w:rsidR="00DD070E" w:rsidRDefault="000C5179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3" w:history="1">
            <w:r w:rsidR="00DD070E" w:rsidRPr="00837BC1">
              <w:rPr>
                <w:rStyle w:val="Hyperlink"/>
                <w:noProof/>
              </w:rPr>
              <w:t>3 Security Risk Assessment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_Toc90140703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6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738CCEE1" w14:textId="2C2363A3" w:rsidR="00DD070E" w:rsidRDefault="000C5179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4" w:history="1">
            <w:r w:rsidR="00DD070E" w:rsidRPr="00837BC1">
              <w:rPr>
                <w:rStyle w:val="Hyperlink"/>
                <w:noProof/>
              </w:rPr>
              <w:t>4 Critical IT Functions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_Toc90140704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7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7BE97E81" w14:textId="60C7611F" w:rsidR="00DD070E" w:rsidRDefault="000C5179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5" w:history="1">
            <w:r w:rsidR="00DD070E" w:rsidRPr="00837BC1">
              <w:rPr>
                <w:rStyle w:val="Hyperlink"/>
                <w:noProof/>
              </w:rPr>
              <w:t>5 Incident Response Steps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_Toc90140705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8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47A702F0" w14:textId="6C6D111F" w:rsidR="00DD070E" w:rsidRDefault="000C5179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6" w:history="1">
            <w:r w:rsidR="00DD070E" w:rsidRPr="00837BC1">
              <w:rPr>
                <w:rStyle w:val="Hyperlink"/>
                <w:noProof/>
              </w:rPr>
              <w:t>Appendix A – Security Incident Categories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_Toc90140706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9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0E8E558D" w14:textId="6D289690" w:rsidR="00663F57" w:rsidRDefault="00663F57" w:rsidP="00DD070E">
          <w:pPr>
            <w:spacing w:line="30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2ADC30" w14:textId="0008EB30" w:rsidR="21F16121" w:rsidRDefault="21F16121" w:rsidP="00DD070E">
      <w:pPr>
        <w:pStyle w:val="Heading1"/>
        <w:spacing w:line="300" w:lineRule="auto"/>
      </w:pPr>
      <w:r>
        <w:br w:type="page"/>
      </w:r>
      <w:bookmarkStart w:id="0" w:name="_Toc90140696"/>
      <w:r w:rsidR="007219B2">
        <w:lastRenderedPageBreak/>
        <w:t>1 Introduction</w:t>
      </w:r>
      <w:bookmarkEnd w:id="0"/>
    </w:p>
    <w:p w14:paraId="598337C0" w14:textId="034385E9" w:rsidR="21F16121" w:rsidRDefault="00CE66AD" w:rsidP="00DD070E">
      <w:pPr>
        <w:pStyle w:val="Heading2"/>
        <w:spacing w:line="300" w:lineRule="auto"/>
      </w:pPr>
      <w:bookmarkStart w:id="1" w:name="_Toc90140697"/>
      <w:r>
        <w:t xml:space="preserve">1.1 </w:t>
      </w:r>
      <w:r w:rsidR="007219B2">
        <w:t>Purpose</w:t>
      </w:r>
      <w:bookmarkEnd w:id="1"/>
    </w:p>
    <w:p w14:paraId="0074AC6B" w14:textId="580FFF03" w:rsidR="006D5728" w:rsidRPr="006D5728" w:rsidRDefault="006D5728" w:rsidP="00DD070E">
      <w:pPr>
        <w:spacing w:line="300" w:lineRule="auto"/>
      </w:pPr>
      <w:r>
        <w:t xml:space="preserve">The primary purpose of this plan is to limit the impact of </w:t>
      </w:r>
      <w:r w:rsidR="00481754">
        <w:t xml:space="preserve">an information security incident on </w:t>
      </w:r>
      <w:r w:rsidR="00235772">
        <w:t>DigiKnight Technologies, Inc.</w:t>
      </w:r>
      <w:r w:rsidR="00481754">
        <w:t xml:space="preserve"> as well as its employees, customers, and </w:t>
      </w:r>
      <w:r w:rsidR="00915559">
        <w:t>business partners. Achieving this purpose requires quick action and a coordinated approach from all parties involved.</w:t>
      </w:r>
    </w:p>
    <w:p w14:paraId="6A980F53" w14:textId="58A9A87A" w:rsidR="00F60F47" w:rsidRDefault="00CE66AD" w:rsidP="00DD070E">
      <w:pPr>
        <w:pStyle w:val="Heading2"/>
        <w:spacing w:line="300" w:lineRule="auto"/>
      </w:pPr>
      <w:bookmarkStart w:id="2" w:name="_Toc90140698"/>
      <w:r>
        <w:t xml:space="preserve">1.2 </w:t>
      </w:r>
      <w:r w:rsidR="007219B2">
        <w:t>Scope</w:t>
      </w:r>
      <w:bookmarkEnd w:id="2"/>
    </w:p>
    <w:p w14:paraId="3C976136" w14:textId="6C8F3984" w:rsidR="00F60F47" w:rsidRPr="00F60F47" w:rsidRDefault="00F60F47" w:rsidP="00DD070E">
      <w:pPr>
        <w:spacing w:line="300" w:lineRule="auto"/>
      </w:pPr>
      <w:r>
        <w:t xml:space="preserve">The scope of this </w:t>
      </w:r>
      <w:r w:rsidR="00432268">
        <w:t xml:space="preserve">plan </w:t>
      </w:r>
      <w:r>
        <w:t xml:space="preserve">is limited to only </w:t>
      </w:r>
      <w:r w:rsidR="00EF1415">
        <w:t xml:space="preserve">security incidents and breaches </w:t>
      </w:r>
      <w:r w:rsidR="00432268">
        <w:t>(</w:t>
      </w:r>
      <w:r w:rsidR="00EF1415">
        <w:t>as defined below</w:t>
      </w:r>
      <w:r w:rsidR="00432268">
        <w:t>)</w:t>
      </w:r>
      <w:r w:rsidR="00DE6C6D">
        <w:t xml:space="preserve">, but covers those that </w:t>
      </w:r>
      <w:r w:rsidR="00432268">
        <w:t>affect</w:t>
      </w:r>
      <w:r w:rsidR="00DE6C6D">
        <w:t xml:space="preserve"> all </w:t>
      </w:r>
      <w:r w:rsidR="00235772">
        <w:t>DigiKnight Technologies, Inc.</w:t>
      </w:r>
      <w:r w:rsidR="00DE6C6D">
        <w:t xml:space="preserve"> </w:t>
      </w:r>
      <w:r w:rsidR="00432268">
        <w:t>properties, employees, contractors, customers, and third</w:t>
      </w:r>
      <w:r w:rsidR="002D5037">
        <w:t xml:space="preserve"> parties associated with the company.</w:t>
      </w:r>
    </w:p>
    <w:p w14:paraId="42BF7D4C" w14:textId="0CB49F24" w:rsidR="007219B2" w:rsidRDefault="00CE66AD" w:rsidP="00DD070E">
      <w:pPr>
        <w:pStyle w:val="Heading2"/>
        <w:spacing w:line="300" w:lineRule="auto"/>
      </w:pPr>
      <w:bookmarkStart w:id="3" w:name="_Toc90140699"/>
      <w:r>
        <w:t xml:space="preserve">1.3 </w:t>
      </w:r>
      <w:r w:rsidR="007219B2">
        <w:t>Definitions</w:t>
      </w:r>
      <w:bookmarkEnd w:id="3"/>
    </w:p>
    <w:p w14:paraId="1749BA9F" w14:textId="7AFAC3AC" w:rsidR="002D5037" w:rsidRDefault="002D5037" w:rsidP="00DD070E">
      <w:pPr>
        <w:pStyle w:val="Heading4"/>
        <w:spacing w:line="300" w:lineRule="auto"/>
      </w:pPr>
      <w:r>
        <w:t>Incident</w:t>
      </w:r>
    </w:p>
    <w:p w14:paraId="65235757" w14:textId="532BC52D" w:rsidR="00CE66AD" w:rsidRPr="00CE66AD" w:rsidRDefault="00C90DB7" w:rsidP="00DD070E">
      <w:pPr>
        <w:spacing w:line="300" w:lineRule="auto"/>
      </w:pPr>
      <w:r>
        <w:t xml:space="preserve">A security incident is </w:t>
      </w:r>
      <w:r w:rsidR="00955214">
        <w:t>any event which violates the</w:t>
      </w:r>
      <w:r w:rsidR="009027A4">
        <w:t xml:space="preserve"> information</w:t>
      </w:r>
      <w:r w:rsidR="00955214">
        <w:t xml:space="preserve"> security policies and procedures as defined by </w:t>
      </w:r>
      <w:r w:rsidR="00235772">
        <w:t>DigiKnight Technologies, Inc.</w:t>
      </w:r>
      <w:r w:rsidR="00955214">
        <w:t>.</w:t>
      </w:r>
    </w:p>
    <w:p w14:paraId="63FA6308" w14:textId="40C62485" w:rsidR="002D5037" w:rsidRDefault="002D5037" w:rsidP="00DD070E">
      <w:pPr>
        <w:pStyle w:val="Heading4"/>
        <w:spacing w:line="300" w:lineRule="auto"/>
      </w:pPr>
      <w:r>
        <w:t>Breach</w:t>
      </w:r>
    </w:p>
    <w:p w14:paraId="59EA4E92" w14:textId="7CB455FC" w:rsidR="00CE66AD" w:rsidRPr="00CE66AD" w:rsidRDefault="000B476D" w:rsidP="00DD070E">
      <w:pPr>
        <w:spacing w:line="300" w:lineRule="auto"/>
      </w:pPr>
      <w:r>
        <w:t xml:space="preserve">A breach </w:t>
      </w:r>
      <w:r w:rsidR="0058093B">
        <w:t>is any event which results in the unlawful and unauthorized acquisitio</w:t>
      </w:r>
      <w:r w:rsidR="008F3711">
        <w:t>n of information that compromises the security, confidentiality, or integrity of personal da</w:t>
      </w:r>
      <w:r w:rsidR="00583E29">
        <w:t>ta. Depending on the scop</w:t>
      </w:r>
      <w:r w:rsidR="008645B4">
        <w:t>e of a breach</w:t>
      </w:r>
      <w:r w:rsidR="007953FD">
        <w:t xml:space="preserve"> it may be necessary to notify affected individuals</w:t>
      </w:r>
      <w:r w:rsidR="00FD75AA">
        <w:t>, companies, and contractors as well as regulatory authorities and governmental bodies.</w:t>
      </w:r>
    </w:p>
    <w:p w14:paraId="45692D36" w14:textId="16B68181" w:rsidR="00BC421E" w:rsidRDefault="00BC421E" w:rsidP="00DD070E">
      <w:pPr>
        <w:pStyle w:val="Heading4"/>
        <w:spacing w:line="300" w:lineRule="auto"/>
      </w:pPr>
      <w:r>
        <w:t>Personal Data / Personally Identifiable Information</w:t>
      </w:r>
    </w:p>
    <w:p w14:paraId="20A50830" w14:textId="601B5293" w:rsidR="00CE66AD" w:rsidRPr="00CE66AD" w:rsidRDefault="001620D9" w:rsidP="00DD070E">
      <w:pPr>
        <w:spacing w:line="300" w:lineRule="auto"/>
      </w:pPr>
      <w:r>
        <w:t>Personal data i</w:t>
      </w:r>
      <w:r w:rsidR="00E92E49">
        <w:t>s one or more pieces of information which can uniquely identify a</w:t>
      </w:r>
      <w:r w:rsidR="00451E8C">
        <w:t xml:space="preserve">n </w:t>
      </w:r>
      <w:r w:rsidR="00E92E49">
        <w:t>individual</w:t>
      </w:r>
      <w:r w:rsidR="00261778">
        <w:t xml:space="preserve">. The exact definition of this term varies by region and regulation, but </w:t>
      </w:r>
      <w:r w:rsidR="00E5739C">
        <w:t xml:space="preserve">examples of personally identifiable </w:t>
      </w:r>
      <w:r w:rsidR="00362E40">
        <w:t>information</w:t>
      </w:r>
      <w:r w:rsidR="00554C96">
        <w:t xml:space="preserve"> </w:t>
      </w:r>
      <w:r w:rsidR="00AB2760">
        <w:t>include</w:t>
      </w:r>
      <w:r w:rsidR="007E5DFF">
        <w:t xml:space="preserve"> SSN, </w:t>
      </w:r>
      <w:r w:rsidR="00362E40">
        <w:t>driver’s</w:t>
      </w:r>
      <w:r w:rsidR="007E5DFF">
        <w:t xml:space="preserve"> license, </w:t>
      </w:r>
      <w:r w:rsidR="005E6DA8">
        <w:t xml:space="preserve">credit card number and security code, </w:t>
      </w:r>
      <w:r w:rsidR="009A21DC">
        <w:t>or IP address.</w:t>
      </w:r>
    </w:p>
    <w:p w14:paraId="0B212D80" w14:textId="4CDFEEA6" w:rsidR="00BC421E" w:rsidRDefault="00BC421E" w:rsidP="00DD070E">
      <w:pPr>
        <w:pStyle w:val="Heading4"/>
        <w:spacing w:line="300" w:lineRule="auto"/>
      </w:pPr>
      <w:r>
        <w:t>Anonymization</w:t>
      </w:r>
    </w:p>
    <w:p w14:paraId="19C9C548" w14:textId="2F25B06D" w:rsidR="00CE66AD" w:rsidRPr="00CE66AD" w:rsidRDefault="00AB2760" w:rsidP="00DD070E">
      <w:pPr>
        <w:spacing w:line="300" w:lineRule="auto"/>
      </w:pPr>
      <w:r>
        <w:t xml:space="preserve">Anonymization is the process by which </w:t>
      </w:r>
      <w:r w:rsidR="00362E40">
        <w:t>data</w:t>
      </w:r>
      <w:r>
        <w:t xml:space="preserve"> is </w:t>
      </w:r>
      <w:r w:rsidR="00362E40">
        <w:t xml:space="preserve">stripped of personal </w:t>
      </w:r>
      <w:r w:rsidR="009E5528">
        <w:t>info</w:t>
      </w:r>
      <w:r w:rsidR="00362E40">
        <w:t>rmation</w:t>
      </w:r>
      <w:r w:rsidR="009E5528">
        <w:t xml:space="preserve"> to the point where it can no longer be considered personally identifiable infor</w:t>
      </w:r>
      <w:r w:rsidR="0028449E">
        <w:t>mation.</w:t>
      </w:r>
    </w:p>
    <w:p w14:paraId="547A2FA0" w14:textId="613AE6DA" w:rsidR="00BC421E" w:rsidRDefault="00BC421E" w:rsidP="00DD070E">
      <w:pPr>
        <w:pStyle w:val="Heading4"/>
        <w:spacing w:line="300" w:lineRule="auto"/>
      </w:pPr>
      <w:r>
        <w:t>Pseudonymization</w:t>
      </w:r>
    </w:p>
    <w:p w14:paraId="69B156E6" w14:textId="75A2B62C" w:rsidR="00CE66AD" w:rsidRPr="00CE66AD" w:rsidRDefault="006F5E43" w:rsidP="00DD070E">
      <w:pPr>
        <w:spacing w:line="300" w:lineRule="auto"/>
      </w:pPr>
      <w:r>
        <w:t xml:space="preserve">Pseudonymization is the process by which </w:t>
      </w:r>
      <w:r w:rsidR="006F41B4">
        <w:t xml:space="preserve">data is mutated such that it no longer contains any personally identifiable information </w:t>
      </w:r>
      <w:r w:rsidR="00344798">
        <w:t xml:space="preserve">on its own </w:t>
      </w:r>
      <w:r w:rsidR="006F41B4">
        <w:t xml:space="preserve">but </w:t>
      </w:r>
      <w:r w:rsidR="00344798">
        <w:t>can be attributed to an individual through a separately contained and secured data source.</w:t>
      </w:r>
    </w:p>
    <w:p w14:paraId="2B4BD006" w14:textId="77777777" w:rsidR="00050389" w:rsidRDefault="00050389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DD04FD4" w14:textId="58C8D2CC" w:rsidR="00E85B37" w:rsidRDefault="00813E5A" w:rsidP="00DD070E">
      <w:pPr>
        <w:pStyle w:val="Heading1"/>
        <w:spacing w:line="300" w:lineRule="auto"/>
      </w:pPr>
      <w:bookmarkStart w:id="4" w:name="_Toc90140700"/>
      <w:r>
        <w:lastRenderedPageBreak/>
        <w:t xml:space="preserve">2 </w:t>
      </w:r>
      <w:r w:rsidR="00E85B37">
        <w:t>Roles and Responsibilities</w:t>
      </w:r>
      <w:bookmarkEnd w:id="4"/>
    </w:p>
    <w:p w14:paraId="27EC3CBA" w14:textId="588F7A50" w:rsidR="00277C81" w:rsidRPr="00277C81" w:rsidRDefault="00277C81" w:rsidP="00DD070E">
      <w:pPr>
        <w:pStyle w:val="Heading2"/>
        <w:spacing w:line="300" w:lineRule="auto"/>
      </w:pPr>
      <w:bookmarkStart w:id="5" w:name="_Toc90140701"/>
      <w:r>
        <w:t>2.1 Team Definitions</w:t>
      </w:r>
      <w:bookmarkEnd w:id="5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2163"/>
        <w:gridCol w:w="5724"/>
        <w:gridCol w:w="3129"/>
      </w:tblGrid>
      <w:tr w:rsidR="005605CA" w:rsidRPr="003B16BD" w14:paraId="630E3D1D" w14:textId="77777777" w:rsidTr="00D76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pct"/>
          </w:tcPr>
          <w:p w14:paraId="6188E9A1" w14:textId="3088D5A2" w:rsidR="005605CA" w:rsidRPr="003B16BD" w:rsidRDefault="005605CA" w:rsidP="00DD070E">
            <w:pPr>
              <w:spacing w:line="300" w:lineRule="auto"/>
            </w:pPr>
            <w:r>
              <w:t>Role</w:t>
            </w:r>
          </w:p>
        </w:tc>
        <w:tc>
          <w:tcPr>
            <w:tcW w:w="2598" w:type="pct"/>
          </w:tcPr>
          <w:p w14:paraId="5C77BE32" w14:textId="67662ACA" w:rsidR="005605CA" w:rsidRPr="003B16BD" w:rsidRDefault="005605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1420" w:type="pct"/>
          </w:tcPr>
          <w:p w14:paraId="78C875E7" w14:textId="7B6CE1C8" w:rsidR="005605CA" w:rsidRPr="003B16BD" w:rsidRDefault="005605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5605CA" w14:paraId="334E0F5E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344B674A" w14:textId="1A2CD0FB" w:rsidR="005605CA" w:rsidRPr="00A012C6" w:rsidRDefault="0063018D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Response Team</w:t>
            </w:r>
          </w:p>
        </w:tc>
        <w:tc>
          <w:tcPr>
            <w:tcW w:w="2598" w:type="pct"/>
          </w:tcPr>
          <w:p w14:paraId="52FDAA18" w14:textId="77777777" w:rsidR="005605CA" w:rsidRDefault="00F750A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44EB9">
              <w:rPr>
                <w:sz w:val="20"/>
                <w:szCs w:val="20"/>
              </w:rPr>
              <w:t>Lead investigations into information security incidents.</w:t>
            </w:r>
          </w:p>
          <w:p w14:paraId="04CB9549" w14:textId="77777777" w:rsidR="00F44EB9" w:rsidRDefault="00F44EB9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866BAD">
              <w:rPr>
                <w:sz w:val="20"/>
                <w:szCs w:val="20"/>
              </w:rPr>
              <w:t xml:space="preserve">Take actions and activate </w:t>
            </w:r>
            <w:r w:rsidR="004963AD">
              <w:rPr>
                <w:sz w:val="20"/>
                <w:szCs w:val="20"/>
              </w:rPr>
              <w:t>team members in order to contain and control systems affected by incidents.</w:t>
            </w:r>
          </w:p>
          <w:p w14:paraId="5D834BBE" w14:textId="20E77058" w:rsidR="0066044B" w:rsidRPr="00F750AE" w:rsidRDefault="0066044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Maintain detailed history of security incidents</w:t>
            </w:r>
            <w:r w:rsidR="001317F3">
              <w:rPr>
                <w:sz w:val="20"/>
                <w:szCs w:val="20"/>
              </w:rPr>
              <w:t xml:space="preserve"> and their resolution.</w:t>
            </w:r>
          </w:p>
        </w:tc>
        <w:tc>
          <w:tcPr>
            <w:tcW w:w="1420" w:type="pct"/>
          </w:tcPr>
          <w:p w14:paraId="6C9AF5BA" w14:textId="3FAF93C1" w:rsidR="005605CA" w:rsidRPr="00A012C6" w:rsidRDefault="001317F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Engaged in all incidents.</w:t>
            </w:r>
          </w:p>
        </w:tc>
      </w:tr>
      <w:tr w:rsidR="00C728EE" w14:paraId="0DC51206" w14:textId="77777777" w:rsidTr="00D33F65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588A8FD6" w14:textId="19011458" w:rsidR="00C728EE" w:rsidRDefault="00A5527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Team</w:t>
            </w:r>
          </w:p>
        </w:tc>
        <w:tc>
          <w:tcPr>
            <w:tcW w:w="2598" w:type="pct"/>
          </w:tcPr>
          <w:p w14:paraId="71FA095D" w14:textId="77777777" w:rsidR="00C728EE" w:rsidRDefault="00F750A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01412">
              <w:rPr>
                <w:sz w:val="20"/>
                <w:szCs w:val="20"/>
              </w:rPr>
              <w:t>Provide support and expertise to the incident response team.</w:t>
            </w:r>
          </w:p>
          <w:p w14:paraId="3F29C88E" w14:textId="77777777" w:rsidR="00901412" w:rsidRDefault="0090141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Take actions in order to contain and control systems affected by incidents.</w:t>
            </w:r>
          </w:p>
          <w:p w14:paraId="56BCE087" w14:textId="58A4CA31" w:rsidR="00C351A3" w:rsidRPr="00F750AE" w:rsidRDefault="00C351A3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Take appropriate steps to preserve information </w:t>
            </w:r>
            <w:r w:rsidR="007A4D7F">
              <w:rPr>
                <w:sz w:val="20"/>
                <w:szCs w:val="20"/>
              </w:rPr>
              <w:t>helpful to an incident investigation.</w:t>
            </w:r>
          </w:p>
        </w:tc>
        <w:tc>
          <w:tcPr>
            <w:tcW w:w="1420" w:type="pct"/>
          </w:tcPr>
          <w:p w14:paraId="26FE8871" w14:textId="5256CDAC" w:rsidR="00C728EE" w:rsidRPr="00A012C6" w:rsidRDefault="007A4D7F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IT Team is activated when an information security incident involves a system</w:t>
            </w:r>
            <w:r w:rsidR="000534EE">
              <w:rPr>
                <w:sz w:val="20"/>
                <w:szCs w:val="20"/>
              </w:rPr>
              <w:t xml:space="preserve"> they support.</w:t>
            </w:r>
          </w:p>
        </w:tc>
      </w:tr>
      <w:tr w:rsidR="00A5527A" w14:paraId="25C2A637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2828E622" w14:textId="4C02C295" w:rsidR="00A5527A" w:rsidRDefault="00A5527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Team</w:t>
            </w:r>
          </w:p>
        </w:tc>
        <w:tc>
          <w:tcPr>
            <w:tcW w:w="2598" w:type="pct"/>
          </w:tcPr>
          <w:p w14:paraId="12FB572F" w14:textId="035B4CEC" w:rsidR="00A5527A" w:rsidRDefault="00F750A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A4D7F">
              <w:rPr>
                <w:sz w:val="20"/>
                <w:szCs w:val="20"/>
              </w:rPr>
              <w:t xml:space="preserve">. </w:t>
            </w:r>
            <w:r w:rsidR="008A08D9">
              <w:rPr>
                <w:sz w:val="20"/>
                <w:szCs w:val="20"/>
              </w:rPr>
              <w:t xml:space="preserve">Manage internal incident communications </w:t>
            </w:r>
            <w:r w:rsidR="007A5565">
              <w:rPr>
                <w:sz w:val="20"/>
                <w:szCs w:val="20"/>
              </w:rPr>
              <w:t>with</w:t>
            </w:r>
            <w:r w:rsidR="008A08D9">
              <w:rPr>
                <w:sz w:val="20"/>
                <w:szCs w:val="20"/>
              </w:rPr>
              <w:t xml:space="preserve"> employees and stakeholders.</w:t>
            </w:r>
          </w:p>
          <w:p w14:paraId="44117134" w14:textId="7B9EAE90" w:rsidR="008A08D9" w:rsidRPr="00F750AE" w:rsidRDefault="008A08D9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Manage external incident communications </w:t>
            </w:r>
            <w:r w:rsidR="007A5565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r w:rsidR="007A5565">
              <w:rPr>
                <w:sz w:val="20"/>
                <w:szCs w:val="20"/>
              </w:rPr>
              <w:t>media, regulators, and outside stakeholders.</w:t>
            </w:r>
          </w:p>
        </w:tc>
        <w:tc>
          <w:tcPr>
            <w:tcW w:w="1420" w:type="pct"/>
          </w:tcPr>
          <w:p w14:paraId="6C30C356" w14:textId="2669EB66" w:rsidR="00A5527A" w:rsidRPr="00A012C6" w:rsidRDefault="007A556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Communication Team is activated when an incide</w:t>
            </w:r>
            <w:r w:rsidR="00153914">
              <w:rPr>
                <w:sz w:val="20"/>
                <w:szCs w:val="20"/>
              </w:rPr>
              <w:t>nt requires large-scale internal or external communication.</w:t>
            </w:r>
          </w:p>
        </w:tc>
      </w:tr>
      <w:tr w:rsidR="00A5527A" w14:paraId="598AB1C8" w14:textId="77777777" w:rsidTr="00D33F65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5BBF3F79" w14:textId="5A60F91B" w:rsidR="00A5527A" w:rsidRDefault="00A5527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Security Team</w:t>
            </w:r>
          </w:p>
        </w:tc>
        <w:tc>
          <w:tcPr>
            <w:tcW w:w="2598" w:type="pct"/>
          </w:tcPr>
          <w:p w14:paraId="562DE011" w14:textId="77777777" w:rsidR="00A5527A" w:rsidRDefault="00A5527A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01170">
              <w:rPr>
                <w:sz w:val="20"/>
                <w:szCs w:val="20"/>
              </w:rPr>
              <w:t xml:space="preserve">Provide </w:t>
            </w:r>
            <w:r w:rsidR="001E5EAA">
              <w:rPr>
                <w:sz w:val="20"/>
                <w:szCs w:val="20"/>
              </w:rPr>
              <w:t>insight and investigation into physical security components of incidents.</w:t>
            </w:r>
          </w:p>
          <w:p w14:paraId="52F2E683" w14:textId="706F482B" w:rsidR="00DF3E7F" w:rsidRPr="00A5527A" w:rsidRDefault="00DF3E7F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Provide security and support during incident investigations.</w:t>
            </w:r>
          </w:p>
        </w:tc>
        <w:tc>
          <w:tcPr>
            <w:tcW w:w="1420" w:type="pct"/>
          </w:tcPr>
          <w:p w14:paraId="4B821C76" w14:textId="3BCB1A05" w:rsidR="00A5527A" w:rsidRPr="00A012C6" w:rsidRDefault="00DF3E7F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Physical Security Team is activated when </w:t>
            </w:r>
            <w:r w:rsidR="00DD00B0">
              <w:rPr>
                <w:sz w:val="20"/>
                <w:szCs w:val="20"/>
              </w:rPr>
              <w:t>an incident affects the safety of personnel</w:t>
            </w:r>
            <w:r w:rsidR="0026310B">
              <w:rPr>
                <w:sz w:val="20"/>
                <w:szCs w:val="20"/>
              </w:rPr>
              <w:t>, the security of</w:t>
            </w:r>
            <w:r w:rsidR="00DD00B0">
              <w:rPr>
                <w:sz w:val="20"/>
                <w:szCs w:val="20"/>
              </w:rPr>
              <w:t xml:space="preserve"> com</w:t>
            </w:r>
            <w:r w:rsidR="00BD52AA">
              <w:rPr>
                <w:sz w:val="20"/>
                <w:szCs w:val="20"/>
              </w:rPr>
              <w:t>pany property</w:t>
            </w:r>
            <w:r w:rsidR="0026310B">
              <w:rPr>
                <w:sz w:val="20"/>
                <w:szCs w:val="20"/>
              </w:rPr>
              <w:t xml:space="preserve">, or </w:t>
            </w:r>
            <w:r w:rsidR="0027394A">
              <w:rPr>
                <w:sz w:val="20"/>
                <w:szCs w:val="20"/>
              </w:rPr>
              <w:t xml:space="preserve">requires </w:t>
            </w:r>
            <w:r w:rsidR="0026310B">
              <w:rPr>
                <w:sz w:val="20"/>
                <w:szCs w:val="20"/>
              </w:rPr>
              <w:t xml:space="preserve">the </w:t>
            </w:r>
            <w:r w:rsidR="0027394A">
              <w:rPr>
                <w:sz w:val="20"/>
                <w:szCs w:val="20"/>
              </w:rPr>
              <w:t>preservation</w:t>
            </w:r>
            <w:r w:rsidR="0026310B">
              <w:rPr>
                <w:sz w:val="20"/>
                <w:szCs w:val="20"/>
              </w:rPr>
              <w:t xml:space="preserve"> of physical evidence.</w:t>
            </w:r>
          </w:p>
        </w:tc>
      </w:tr>
    </w:tbl>
    <w:p w14:paraId="13B23173" w14:textId="77777777" w:rsidR="004A3B87" w:rsidRDefault="004A3B87" w:rsidP="00DD070E">
      <w:pPr>
        <w:pStyle w:val="Heading2"/>
        <w:spacing w:line="300" w:lineRule="auto"/>
      </w:pPr>
    </w:p>
    <w:p w14:paraId="39142D18" w14:textId="3A8176AA" w:rsidR="00CE66AD" w:rsidRDefault="00277C81" w:rsidP="00DD070E">
      <w:pPr>
        <w:pStyle w:val="Heading2"/>
        <w:spacing w:line="300" w:lineRule="auto"/>
      </w:pPr>
      <w:bookmarkStart w:id="6" w:name="_Toc90140702"/>
      <w:r>
        <w:t>2.2 Incident Response Team</w:t>
      </w:r>
      <w:bookmarkEnd w:id="6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2163"/>
        <w:gridCol w:w="5724"/>
        <w:gridCol w:w="3129"/>
      </w:tblGrid>
      <w:tr w:rsidR="008964CA" w:rsidRPr="003B16BD" w14:paraId="7439EB44" w14:textId="77777777" w:rsidTr="00D76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pct"/>
          </w:tcPr>
          <w:p w14:paraId="3F0FBC1A" w14:textId="77777777" w:rsidR="008964CA" w:rsidRPr="003B16BD" w:rsidRDefault="008964CA" w:rsidP="00DD070E">
            <w:pPr>
              <w:spacing w:line="300" w:lineRule="auto"/>
            </w:pPr>
            <w:r>
              <w:t>Role</w:t>
            </w:r>
          </w:p>
        </w:tc>
        <w:tc>
          <w:tcPr>
            <w:tcW w:w="2597" w:type="pct"/>
          </w:tcPr>
          <w:p w14:paraId="59B00EA8" w14:textId="7EC5C2FA" w:rsidR="008964CA" w:rsidRPr="003B16BD" w:rsidRDefault="008964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20" w:type="pct"/>
          </w:tcPr>
          <w:p w14:paraId="522F1B5F" w14:textId="532745AB" w:rsidR="008964CA" w:rsidRPr="003B16BD" w:rsidRDefault="008964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</w:tc>
      </w:tr>
      <w:tr w:rsidR="008964CA" w14:paraId="74EA01CE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6D039526" w14:textId="7A053F39" w:rsidR="008964CA" w:rsidRPr="00A012C6" w:rsidRDefault="008964C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</w:t>
            </w:r>
          </w:p>
        </w:tc>
        <w:tc>
          <w:tcPr>
            <w:tcW w:w="2597" w:type="pct"/>
          </w:tcPr>
          <w:p w14:paraId="110B8317" w14:textId="07C8C385" w:rsidR="008964CA" w:rsidRPr="00F750AE" w:rsidRDefault="004C759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Alicia McKellips</w:t>
            </w:r>
          </w:p>
        </w:tc>
        <w:tc>
          <w:tcPr>
            <w:tcW w:w="1420" w:type="pct"/>
          </w:tcPr>
          <w:p w14:paraId="01B0C108" w14:textId="6E9124E6" w:rsidR="008964CA" w:rsidRPr="00A012C6" w:rsidRDefault="004C759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415-555-8352 x190</w:t>
            </w:r>
          </w:p>
        </w:tc>
      </w:tr>
      <w:tr w:rsidR="004C7591" w14:paraId="7628841F" w14:textId="77777777" w:rsidTr="00D33F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43C69F3F" w14:textId="0B0E1243" w:rsidR="004C7591" w:rsidRDefault="004C7591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</w:t>
            </w:r>
          </w:p>
        </w:tc>
        <w:tc>
          <w:tcPr>
            <w:tcW w:w="2597" w:type="pct"/>
          </w:tcPr>
          <w:p w14:paraId="35D81B4A" w14:textId="12B8B9E3" w:rsidR="004C7591" w:rsidRDefault="004C759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Carlton Smith</w:t>
            </w:r>
          </w:p>
        </w:tc>
        <w:tc>
          <w:tcPr>
            <w:tcW w:w="1420" w:type="pct"/>
          </w:tcPr>
          <w:p w14:paraId="3E9BB2D6" w14:textId="00B080A7" w:rsidR="004C7591" w:rsidRDefault="004C759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415-555-7841</w:t>
            </w:r>
          </w:p>
        </w:tc>
      </w:tr>
      <w:tr w:rsidR="004C7591" w14:paraId="2CBFD8CA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3763146E" w14:textId="14F4D257" w:rsidR="004C7591" w:rsidRDefault="008D12C2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</w:t>
            </w:r>
          </w:p>
        </w:tc>
        <w:tc>
          <w:tcPr>
            <w:tcW w:w="2597" w:type="pct"/>
          </w:tcPr>
          <w:p w14:paraId="6F138079" w14:textId="6F8E5A62" w:rsidR="004C7591" w:rsidRDefault="008D12C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Wildhorn</w:t>
            </w:r>
          </w:p>
        </w:tc>
        <w:tc>
          <w:tcPr>
            <w:tcW w:w="1420" w:type="pct"/>
          </w:tcPr>
          <w:p w14:paraId="5A348ADB" w14:textId="69ACACB1" w:rsidR="004C7591" w:rsidRDefault="008D12C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415-555-8352 x194</w:t>
            </w:r>
          </w:p>
        </w:tc>
      </w:tr>
      <w:tr w:rsidR="008D12C2" w14:paraId="58DDE6FF" w14:textId="77777777" w:rsidTr="00D33F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7C4F12F7" w14:textId="628A0C25" w:rsidR="008D12C2" w:rsidRDefault="008D12C2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</w:t>
            </w:r>
          </w:p>
        </w:tc>
        <w:tc>
          <w:tcPr>
            <w:tcW w:w="2597" w:type="pct"/>
          </w:tcPr>
          <w:p w14:paraId="00978279" w14:textId="7F1B966E" w:rsidR="008D12C2" w:rsidRDefault="00DB4CD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Joseph Webber</w:t>
            </w:r>
          </w:p>
        </w:tc>
        <w:tc>
          <w:tcPr>
            <w:tcW w:w="1420" w:type="pct"/>
          </w:tcPr>
          <w:p w14:paraId="4F750F6F" w14:textId="0519B7F3" w:rsidR="008D12C2" w:rsidRDefault="00DB4CD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415-555-8352 x193</w:t>
            </w:r>
          </w:p>
        </w:tc>
      </w:tr>
    </w:tbl>
    <w:p w14:paraId="2D2E56F6" w14:textId="77777777" w:rsidR="00643993" w:rsidRDefault="00643993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85DE3A0" w14:textId="022A55E8" w:rsidR="00926675" w:rsidRDefault="00926675" w:rsidP="00DD070E">
      <w:pPr>
        <w:pStyle w:val="Heading1"/>
        <w:spacing w:line="300" w:lineRule="auto"/>
      </w:pPr>
      <w:bookmarkStart w:id="7" w:name="_Toc90140703"/>
      <w:r>
        <w:lastRenderedPageBreak/>
        <w:t>3 Security Risk Assessment</w:t>
      </w:r>
      <w:bookmarkEnd w:id="7"/>
    </w:p>
    <w:tbl>
      <w:tblPr>
        <w:tblStyle w:val="GridTable7Colorful-Accent11"/>
        <w:tblW w:w="5000" w:type="pct"/>
        <w:tblLook w:val="04A0" w:firstRow="1" w:lastRow="0" w:firstColumn="1" w:lastColumn="0" w:noHBand="0" w:noVBand="1"/>
      </w:tblPr>
      <w:tblGrid>
        <w:gridCol w:w="2734"/>
        <w:gridCol w:w="5550"/>
        <w:gridCol w:w="1366"/>
        <w:gridCol w:w="1366"/>
      </w:tblGrid>
      <w:tr w:rsidR="003C2A34" w:rsidRPr="00643993" w14:paraId="10F7A9F8" w14:textId="437D6DE5" w:rsidTr="003C2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1" w:type="pct"/>
          </w:tcPr>
          <w:p w14:paraId="2FC31D77" w14:textId="77777777" w:rsidR="003C2A34" w:rsidRPr="00643993" w:rsidRDefault="003C2A34" w:rsidP="00DD070E">
            <w:pPr>
              <w:spacing w:line="300" w:lineRule="auto"/>
            </w:pPr>
            <w:r w:rsidRPr="00643993">
              <w:t>Risk Description</w:t>
            </w:r>
          </w:p>
        </w:tc>
        <w:tc>
          <w:tcPr>
            <w:tcW w:w="2519" w:type="pct"/>
          </w:tcPr>
          <w:p w14:paraId="6B4E34C5" w14:textId="77777777" w:rsidR="003C2A34" w:rsidRPr="00643993" w:rsidRDefault="003C2A34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3993">
              <w:t>Mitigation/Response</w:t>
            </w:r>
          </w:p>
        </w:tc>
        <w:tc>
          <w:tcPr>
            <w:tcW w:w="620" w:type="pct"/>
          </w:tcPr>
          <w:p w14:paraId="324B61E7" w14:textId="5DED28C8" w:rsidR="003C2A34" w:rsidRPr="00643993" w:rsidRDefault="003C2A34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3993">
              <w:t xml:space="preserve">Risk </w:t>
            </w:r>
            <w:r>
              <w:t>Category</w:t>
            </w:r>
          </w:p>
        </w:tc>
        <w:tc>
          <w:tcPr>
            <w:tcW w:w="620" w:type="pct"/>
          </w:tcPr>
          <w:p w14:paraId="3DEDB0C6" w14:textId="4B4C7999" w:rsidR="003C2A34" w:rsidRPr="00643993" w:rsidRDefault="003C2A34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Assessment</w:t>
            </w:r>
          </w:p>
        </w:tc>
      </w:tr>
      <w:tr w:rsidR="002805DD" w:rsidRPr="00643993" w14:paraId="130FC9F3" w14:textId="6FF3CBA5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08405AC6" w14:textId="03CAC693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Website Outage</w:t>
            </w:r>
          </w:p>
        </w:tc>
        <w:tc>
          <w:tcPr>
            <w:tcW w:w="2519" w:type="pct"/>
          </w:tcPr>
          <w:p w14:paraId="27E722F1" w14:textId="0B312E91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Redundant web servers, site backups, automated outage notifications</w:t>
            </w:r>
            <w:r w:rsidR="00BF5734">
              <w:t>. Contact vendor(s)</w:t>
            </w:r>
            <w:r w:rsidR="00DB7798">
              <w:t xml:space="preserve"> to provide assistance.</w:t>
            </w:r>
          </w:p>
        </w:tc>
        <w:tc>
          <w:tcPr>
            <w:tcW w:w="620" w:type="pct"/>
          </w:tcPr>
          <w:p w14:paraId="69343630" w14:textId="6D68C519" w:rsidR="002805DD" w:rsidRPr="00643993" w:rsidRDefault="0014127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8</w:t>
            </w:r>
          </w:p>
        </w:tc>
        <w:tc>
          <w:tcPr>
            <w:tcW w:w="620" w:type="pct"/>
          </w:tcPr>
          <w:p w14:paraId="76D85B65" w14:textId="08835DA1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Low</w:t>
            </w:r>
          </w:p>
        </w:tc>
      </w:tr>
      <w:tr w:rsidR="002805DD" w:rsidRPr="00643993" w14:paraId="3B87DF8C" w14:textId="1BC2D47B" w:rsidTr="003C2A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FC32214" w14:textId="32AB8BCE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Cybersecurity Breach</w:t>
            </w:r>
          </w:p>
        </w:tc>
        <w:tc>
          <w:tcPr>
            <w:tcW w:w="2519" w:type="pct"/>
          </w:tcPr>
          <w:p w14:paraId="5BFF38F3" w14:textId="1C073559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Staff security training, social engineering training, clear policies and procedures.</w:t>
            </w:r>
            <w:r w:rsidR="00AC472F">
              <w:t xml:space="preserve"> Daily full backups (local), paired with weekly </w:t>
            </w:r>
            <w:r w:rsidR="009E1323">
              <w:t>cloud</w:t>
            </w:r>
            <w:r w:rsidR="00AC472F">
              <w:t xml:space="preserve"> backups</w:t>
            </w:r>
            <w:r w:rsidR="006D48B9">
              <w:t xml:space="preserve"> to prevent data loss</w:t>
            </w:r>
            <w:r w:rsidR="009E1323">
              <w:t>.</w:t>
            </w:r>
          </w:p>
        </w:tc>
        <w:tc>
          <w:tcPr>
            <w:tcW w:w="620" w:type="pct"/>
          </w:tcPr>
          <w:p w14:paraId="69389A64" w14:textId="1C1891B7" w:rsidR="002805DD" w:rsidRPr="00643993" w:rsidRDefault="008F75F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1</w:t>
            </w:r>
          </w:p>
        </w:tc>
        <w:tc>
          <w:tcPr>
            <w:tcW w:w="620" w:type="pct"/>
          </w:tcPr>
          <w:p w14:paraId="1C5E25B6" w14:textId="1BC16CD9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High</w:t>
            </w:r>
          </w:p>
        </w:tc>
      </w:tr>
      <w:tr w:rsidR="002805DD" w:rsidRPr="00643993" w14:paraId="129E81EF" w14:textId="3DD5212F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6697C2F1" w14:textId="667985FD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Insider Threat</w:t>
            </w:r>
          </w:p>
        </w:tc>
        <w:tc>
          <w:tcPr>
            <w:tcW w:w="2519" w:type="pct"/>
          </w:tcPr>
          <w:p w14:paraId="671E8385" w14:textId="58035B77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Internal investigation team, anonymous reporting proced</w:t>
            </w:r>
            <w:r w:rsidR="002E3A30">
              <w:t>ures</w:t>
            </w:r>
            <w:r w:rsidR="00D43672">
              <w:t>. Conduct unannounced drills every 6-8 weeks on random rotation.</w:t>
            </w:r>
          </w:p>
        </w:tc>
        <w:tc>
          <w:tcPr>
            <w:tcW w:w="620" w:type="pct"/>
          </w:tcPr>
          <w:p w14:paraId="18A87BB5" w14:textId="4EB664CB" w:rsidR="002805DD" w:rsidRPr="00643993" w:rsidRDefault="00606624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9</w:t>
            </w:r>
          </w:p>
        </w:tc>
        <w:tc>
          <w:tcPr>
            <w:tcW w:w="620" w:type="pct"/>
          </w:tcPr>
          <w:p w14:paraId="3466E8F5" w14:textId="70E9D018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Medium</w:t>
            </w:r>
          </w:p>
        </w:tc>
      </w:tr>
      <w:tr w:rsidR="002805DD" w:rsidRPr="00643993" w14:paraId="6C7F0063" w14:textId="1E91E84F" w:rsidTr="003C2A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65EB639F" w14:textId="54E128FF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Database Vulnerability</w:t>
            </w:r>
          </w:p>
        </w:tc>
        <w:tc>
          <w:tcPr>
            <w:tcW w:w="2519" w:type="pct"/>
          </w:tcPr>
          <w:p w14:paraId="1259B4A3" w14:textId="0A45F2FD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Firewalls, proxy servers, software updates.</w:t>
            </w:r>
            <w:r w:rsidR="0067345A">
              <w:t xml:space="preserve"> Continuous differential backups</w:t>
            </w:r>
            <w:r w:rsidR="00BC5FCD">
              <w:t>.</w:t>
            </w:r>
          </w:p>
        </w:tc>
        <w:tc>
          <w:tcPr>
            <w:tcW w:w="620" w:type="pct"/>
          </w:tcPr>
          <w:p w14:paraId="16739DF2" w14:textId="1E6E2CF0" w:rsidR="002805DD" w:rsidRPr="00643993" w:rsidRDefault="00297C1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7</w:t>
            </w:r>
          </w:p>
        </w:tc>
        <w:tc>
          <w:tcPr>
            <w:tcW w:w="620" w:type="pct"/>
          </w:tcPr>
          <w:p w14:paraId="5E89D94B" w14:textId="482E5410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High</w:t>
            </w:r>
          </w:p>
        </w:tc>
      </w:tr>
      <w:tr w:rsidR="002805DD" w:rsidRPr="00643993" w14:paraId="4838B01F" w14:textId="6B7A41BD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F3ECE00" w14:textId="345BB86A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Network Outage</w:t>
            </w:r>
          </w:p>
        </w:tc>
        <w:tc>
          <w:tcPr>
            <w:tcW w:w="2519" w:type="pct"/>
          </w:tcPr>
          <w:p w14:paraId="0771AF8B" w14:textId="0B45CBD3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Backup hardware in place, ISP emergency contact procedures</w:t>
            </w:r>
            <w:r w:rsidR="00BC5FCD">
              <w:t>. Daily full backups (local)</w:t>
            </w:r>
            <w:r w:rsidR="003D72C1">
              <w:t>, paired with weekly cloud backups</w:t>
            </w:r>
            <w:r w:rsidR="006D48B9">
              <w:t xml:space="preserve"> to prevent data loss</w:t>
            </w:r>
            <w:r w:rsidR="003D72C1">
              <w:t>.</w:t>
            </w:r>
          </w:p>
        </w:tc>
        <w:tc>
          <w:tcPr>
            <w:tcW w:w="620" w:type="pct"/>
          </w:tcPr>
          <w:p w14:paraId="2F681D4C" w14:textId="4C7157CB" w:rsidR="002805DD" w:rsidRPr="00643993" w:rsidRDefault="00557466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8</w:t>
            </w:r>
          </w:p>
        </w:tc>
        <w:tc>
          <w:tcPr>
            <w:tcW w:w="620" w:type="pct"/>
          </w:tcPr>
          <w:p w14:paraId="4C38EC91" w14:textId="50AA6A65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High</w:t>
            </w:r>
          </w:p>
        </w:tc>
      </w:tr>
      <w:tr w:rsidR="002805DD" w:rsidRPr="00643993" w14:paraId="7E82D995" w14:textId="3AFE33E3" w:rsidTr="003C2A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62007D27" w14:textId="34C08773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PII Breach</w:t>
            </w:r>
          </w:p>
        </w:tc>
        <w:tc>
          <w:tcPr>
            <w:tcW w:w="2519" w:type="pct"/>
          </w:tcPr>
          <w:p w14:paraId="47CE3D2D" w14:textId="0D1E5437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Staff security training, clear policies and procedures, government/regulator notification process, public notificatio</w:t>
            </w:r>
            <w:r w:rsidR="00D43672">
              <w:t xml:space="preserve">n process. </w:t>
            </w:r>
            <w:r w:rsidR="006D48B9">
              <w:t>Daily full backups (local), paired with weekly cloud backups to prevent data loss.</w:t>
            </w:r>
          </w:p>
        </w:tc>
        <w:tc>
          <w:tcPr>
            <w:tcW w:w="620" w:type="pct"/>
          </w:tcPr>
          <w:p w14:paraId="4E0DB26D" w14:textId="1A6CE5D5" w:rsidR="002805DD" w:rsidRPr="00643993" w:rsidRDefault="00330E46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2</w:t>
            </w:r>
          </w:p>
        </w:tc>
        <w:tc>
          <w:tcPr>
            <w:tcW w:w="620" w:type="pct"/>
          </w:tcPr>
          <w:p w14:paraId="45195917" w14:textId="309586A5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Medium</w:t>
            </w:r>
          </w:p>
        </w:tc>
      </w:tr>
      <w:tr w:rsidR="002805DD" w:rsidRPr="00643993" w14:paraId="01E871C0" w14:textId="06BFF88D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7CE22F19" w14:textId="735B3C62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Vulnerable Legacy Technology</w:t>
            </w:r>
          </w:p>
        </w:tc>
        <w:tc>
          <w:tcPr>
            <w:tcW w:w="2519" w:type="pct"/>
          </w:tcPr>
          <w:p w14:paraId="0C35C999" w14:textId="45931923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Deprecated technology update schedule, firmware/patch update schedule</w:t>
            </w:r>
            <w:r w:rsidR="000440AC">
              <w:t>. Contact vendor(s) to provide assistance.</w:t>
            </w:r>
          </w:p>
        </w:tc>
        <w:tc>
          <w:tcPr>
            <w:tcW w:w="620" w:type="pct"/>
          </w:tcPr>
          <w:p w14:paraId="06839B46" w14:textId="4547213A" w:rsidR="002805DD" w:rsidRPr="00643993" w:rsidRDefault="0099487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7</w:t>
            </w:r>
          </w:p>
        </w:tc>
        <w:tc>
          <w:tcPr>
            <w:tcW w:w="620" w:type="pct"/>
          </w:tcPr>
          <w:p w14:paraId="0DAEF6F8" w14:textId="407612ED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Medium</w:t>
            </w:r>
          </w:p>
        </w:tc>
      </w:tr>
    </w:tbl>
    <w:p w14:paraId="0E5CC71D" w14:textId="77777777" w:rsidR="007E201E" w:rsidRDefault="007E201E" w:rsidP="00DD070E">
      <w:pPr>
        <w:pStyle w:val="Heading1"/>
        <w:spacing w:line="300" w:lineRule="auto"/>
      </w:pPr>
    </w:p>
    <w:p w14:paraId="36A1A193" w14:textId="77777777" w:rsidR="007E201E" w:rsidRDefault="007E201E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503726" w14:textId="77777777" w:rsidR="00566C94" w:rsidRDefault="007E201E" w:rsidP="00DD070E">
      <w:pPr>
        <w:pStyle w:val="Heading1"/>
        <w:spacing w:line="300" w:lineRule="auto"/>
      </w:pPr>
      <w:bookmarkStart w:id="8" w:name="_Toc90140704"/>
      <w:r>
        <w:lastRenderedPageBreak/>
        <w:t>4 Critical IT</w:t>
      </w:r>
      <w:r w:rsidR="00566C94">
        <w:t xml:space="preserve"> Functions</w:t>
      </w:r>
      <w:bookmarkEnd w:id="8"/>
    </w:p>
    <w:tbl>
      <w:tblPr>
        <w:tblStyle w:val="GridTable7Colorful-Accent11"/>
        <w:tblW w:w="5000" w:type="pct"/>
        <w:tblLook w:val="04A0" w:firstRow="1" w:lastRow="0" w:firstColumn="1" w:lastColumn="0" w:noHBand="0" w:noVBand="1"/>
      </w:tblPr>
      <w:tblGrid>
        <w:gridCol w:w="326"/>
        <w:gridCol w:w="2044"/>
        <w:gridCol w:w="1085"/>
        <w:gridCol w:w="1692"/>
        <w:gridCol w:w="5869"/>
      </w:tblGrid>
      <w:tr w:rsidR="00E00792" w:rsidRPr="00643993" w14:paraId="50A48CDF" w14:textId="60570222" w:rsidTr="00CF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" w:type="pct"/>
          </w:tcPr>
          <w:p w14:paraId="676091BB" w14:textId="1008FF04" w:rsidR="00E00792" w:rsidRPr="00643993" w:rsidRDefault="00E00792" w:rsidP="00DD070E">
            <w:pPr>
              <w:spacing w:line="300" w:lineRule="auto"/>
            </w:pPr>
            <w:r>
              <w:t>#</w:t>
            </w:r>
          </w:p>
        </w:tc>
        <w:tc>
          <w:tcPr>
            <w:tcW w:w="928" w:type="pct"/>
          </w:tcPr>
          <w:p w14:paraId="3CF0F76C" w14:textId="58D2A572" w:rsidR="00E00792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492" w:type="pct"/>
          </w:tcPr>
          <w:p w14:paraId="7EC3A68B" w14:textId="2D29F035" w:rsidR="00E00792" w:rsidRPr="00643993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Criticality</w:t>
            </w:r>
          </w:p>
        </w:tc>
        <w:tc>
          <w:tcPr>
            <w:tcW w:w="768" w:type="pct"/>
          </w:tcPr>
          <w:p w14:paraId="32D92D1D" w14:textId="2FBC6C7C" w:rsidR="00E00792" w:rsidRPr="00643993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Downtime</w:t>
            </w:r>
          </w:p>
        </w:tc>
        <w:tc>
          <w:tcPr>
            <w:tcW w:w="2664" w:type="pct"/>
          </w:tcPr>
          <w:p w14:paraId="04F9B1BD" w14:textId="6ACA795E" w:rsidR="00E00792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Resources</w:t>
            </w:r>
          </w:p>
        </w:tc>
      </w:tr>
      <w:tr w:rsidR="00CF5EC5" w:rsidRPr="00643993" w14:paraId="4B4E8B74" w14:textId="2A060FA3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53BD30F6" w14:textId="156FFDCB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28" w:type="pct"/>
          </w:tcPr>
          <w:p w14:paraId="404ED337" w14:textId="204A1A10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Company Website</w:t>
            </w:r>
          </w:p>
        </w:tc>
        <w:tc>
          <w:tcPr>
            <w:tcW w:w="492" w:type="pct"/>
          </w:tcPr>
          <w:p w14:paraId="1C0C2111" w14:textId="55D6A01E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Medium</w:t>
            </w:r>
          </w:p>
        </w:tc>
        <w:tc>
          <w:tcPr>
            <w:tcW w:w="768" w:type="pct"/>
          </w:tcPr>
          <w:p w14:paraId="185D3889" w14:textId="25C9839B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1-2 days</w:t>
            </w:r>
          </w:p>
        </w:tc>
        <w:tc>
          <w:tcPr>
            <w:tcW w:w="2664" w:type="pct"/>
          </w:tcPr>
          <w:p w14:paraId="4592BAE1" w14:textId="3ECA8995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Internet Access, Web Server</w:t>
            </w:r>
          </w:p>
        </w:tc>
      </w:tr>
      <w:tr w:rsidR="00CF5EC5" w:rsidRPr="00643993" w14:paraId="76C15FC1" w14:textId="7937401A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1F48B703" w14:textId="04681FC1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28" w:type="pct"/>
          </w:tcPr>
          <w:p w14:paraId="11E738B6" w14:textId="7B0CDC69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Computer Backups</w:t>
            </w:r>
          </w:p>
        </w:tc>
        <w:tc>
          <w:tcPr>
            <w:tcW w:w="492" w:type="pct"/>
          </w:tcPr>
          <w:p w14:paraId="43A1A7B6" w14:textId="3770ACB2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Medium</w:t>
            </w:r>
          </w:p>
        </w:tc>
        <w:tc>
          <w:tcPr>
            <w:tcW w:w="768" w:type="pct"/>
          </w:tcPr>
          <w:p w14:paraId="2BABBEBF" w14:textId="789DE893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&lt; 1 day</w:t>
            </w:r>
          </w:p>
        </w:tc>
        <w:tc>
          <w:tcPr>
            <w:tcW w:w="2664" w:type="pct"/>
          </w:tcPr>
          <w:p w14:paraId="57A3172F" w14:textId="5CF04D48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Local Servers, Offsite Servers, Backup Software, Internet Access</w:t>
            </w:r>
          </w:p>
        </w:tc>
      </w:tr>
      <w:tr w:rsidR="00CF5EC5" w:rsidRPr="00643993" w14:paraId="5F6BDFB9" w14:textId="319D047E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73835C0E" w14:textId="2996DBC6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8" w:type="pct"/>
          </w:tcPr>
          <w:p w14:paraId="00E0EA94" w14:textId="09D1A2FE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Customer Records</w:t>
            </w:r>
          </w:p>
        </w:tc>
        <w:tc>
          <w:tcPr>
            <w:tcW w:w="492" w:type="pct"/>
          </w:tcPr>
          <w:p w14:paraId="116F897D" w14:textId="4A66A9F6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High</w:t>
            </w:r>
          </w:p>
        </w:tc>
        <w:tc>
          <w:tcPr>
            <w:tcW w:w="768" w:type="pct"/>
          </w:tcPr>
          <w:p w14:paraId="7EFA3262" w14:textId="5F932B57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&lt; 3 hrs</w:t>
            </w:r>
          </w:p>
        </w:tc>
        <w:tc>
          <w:tcPr>
            <w:tcW w:w="2664" w:type="pct"/>
          </w:tcPr>
          <w:p w14:paraId="6FC21768" w14:textId="2BF294CE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Customer Database, Customer Records Software</w:t>
            </w:r>
          </w:p>
        </w:tc>
      </w:tr>
      <w:tr w:rsidR="00CF5EC5" w:rsidRPr="00643993" w14:paraId="6EFE1882" w14:textId="2B4B800C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48729B71" w14:textId="1B79F84C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28" w:type="pct"/>
          </w:tcPr>
          <w:p w14:paraId="201E97E6" w14:textId="14436167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Employee E-Mail</w:t>
            </w:r>
          </w:p>
        </w:tc>
        <w:tc>
          <w:tcPr>
            <w:tcW w:w="492" w:type="pct"/>
          </w:tcPr>
          <w:p w14:paraId="6FC212B8" w14:textId="77FC7997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High</w:t>
            </w:r>
          </w:p>
        </w:tc>
        <w:tc>
          <w:tcPr>
            <w:tcW w:w="768" w:type="pct"/>
          </w:tcPr>
          <w:p w14:paraId="0355006D" w14:textId="2BD19982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&lt; 3 hrs</w:t>
            </w:r>
          </w:p>
        </w:tc>
        <w:tc>
          <w:tcPr>
            <w:tcW w:w="2664" w:type="pct"/>
          </w:tcPr>
          <w:p w14:paraId="0A7C0695" w14:textId="22FAC940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Internet Access, Email Server</w:t>
            </w:r>
          </w:p>
        </w:tc>
      </w:tr>
      <w:tr w:rsidR="00CF5EC5" w:rsidRPr="00643993" w14:paraId="6965108B" w14:textId="78AE9D07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24FF14F0" w14:textId="31374C62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28" w:type="pct"/>
          </w:tcPr>
          <w:p w14:paraId="11E11AC7" w14:textId="0A07587F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Inventory Records</w:t>
            </w:r>
          </w:p>
        </w:tc>
        <w:tc>
          <w:tcPr>
            <w:tcW w:w="492" w:type="pct"/>
          </w:tcPr>
          <w:p w14:paraId="68D30058" w14:textId="56DAB51C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 xml:space="preserve">High </w:t>
            </w:r>
          </w:p>
        </w:tc>
        <w:tc>
          <w:tcPr>
            <w:tcW w:w="768" w:type="pct"/>
          </w:tcPr>
          <w:p w14:paraId="01C122EA" w14:textId="1F62DD1F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&lt; 3 hrs</w:t>
            </w:r>
          </w:p>
        </w:tc>
        <w:tc>
          <w:tcPr>
            <w:tcW w:w="2664" w:type="pct"/>
          </w:tcPr>
          <w:p w14:paraId="5DCAFDC4" w14:textId="2EC9C1F5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Local Servers, Inventory Software</w:t>
            </w:r>
          </w:p>
        </w:tc>
      </w:tr>
      <w:tr w:rsidR="00E00792" w:rsidRPr="00643993" w14:paraId="763A97BB" w14:textId="03710957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6538A4C6" w14:textId="317A1E19" w:rsidR="00E00792" w:rsidRPr="00643993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28" w:type="pct"/>
          </w:tcPr>
          <w:p w14:paraId="27BE9D45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49162F93" w14:textId="59C9A4A8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732BE69A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228002C2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0792" w:rsidRPr="00643993" w14:paraId="7A217351" w14:textId="554B7FD6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40DBCF74" w14:textId="34E17E66" w:rsidR="00E00792" w:rsidRPr="00643993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28" w:type="pct"/>
          </w:tcPr>
          <w:p w14:paraId="4ABB6390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4BB26BFB" w14:textId="093B8073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16E56A08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4C74072A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0792" w:rsidRPr="00643993" w14:paraId="1F8DF7C7" w14:textId="77777777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60960573" w14:textId="2467500E" w:rsidR="00E00792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28" w:type="pct"/>
          </w:tcPr>
          <w:p w14:paraId="765BF23A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40689906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07C3620F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6D959BFC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0792" w:rsidRPr="00643993" w14:paraId="7AC80BB3" w14:textId="77777777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556D6ADD" w14:textId="6775B8D4" w:rsidR="00E00792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28" w:type="pct"/>
          </w:tcPr>
          <w:p w14:paraId="61A97EC5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3E712747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15FCB539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1AC10ACD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7E18283" w14:textId="77777777" w:rsidR="00F3469E" w:rsidRDefault="00F3469E" w:rsidP="00DD070E">
      <w:pPr>
        <w:pStyle w:val="Heading1"/>
        <w:spacing w:line="300" w:lineRule="auto"/>
      </w:pPr>
    </w:p>
    <w:p w14:paraId="48037C2E" w14:textId="77777777" w:rsidR="00F3469E" w:rsidRDefault="00F3469E" w:rsidP="00DD070E">
      <w:pPr>
        <w:pStyle w:val="Heading1"/>
        <w:spacing w:line="300" w:lineRule="auto"/>
      </w:pPr>
      <w:r>
        <w:br w:type="page"/>
      </w:r>
      <w:bookmarkStart w:id="9" w:name="_Toc90140705"/>
      <w:r>
        <w:lastRenderedPageBreak/>
        <w:t>5 Incident Response Steps</w:t>
      </w:r>
      <w:bookmarkEnd w:id="9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326"/>
        <w:gridCol w:w="1781"/>
        <w:gridCol w:w="8909"/>
      </w:tblGrid>
      <w:tr w:rsidR="00953FB5" w:rsidRPr="003B16BD" w14:paraId="52FFE781" w14:textId="77777777" w:rsidTr="00F31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" w:type="pct"/>
          </w:tcPr>
          <w:p w14:paraId="7F1DCC70" w14:textId="6CB730E9" w:rsidR="00953FB5" w:rsidRPr="003B16BD" w:rsidRDefault="00F31095" w:rsidP="00DD070E">
            <w:pPr>
              <w:spacing w:line="300" w:lineRule="auto"/>
            </w:pPr>
            <w:r>
              <w:t>#</w:t>
            </w:r>
          </w:p>
        </w:tc>
        <w:tc>
          <w:tcPr>
            <w:tcW w:w="817" w:type="pct"/>
          </w:tcPr>
          <w:p w14:paraId="3538DA1A" w14:textId="70B6EDD3" w:rsidR="00953FB5" w:rsidRPr="003B16BD" w:rsidRDefault="00953FB5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4052" w:type="pct"/>
          </w:tcPr>
          <w:p w14:paraId="6113E332" w14:textId="77777777" w:rsidR="00953FB5" w:rsidRPr="003B16BD" w:rsidRDefault="00953FB5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53FB5" w:rsidRPr="00A012C6" w14:paraId="3F88CF2D" w14:textId="77777777" w:rsidTr="0079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3E6120BF" w14:textId="3E5EA5A6" w:rsidR="00953FB5" w:rsidRPr="00115FA7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17" w:type="pct"/>
          </w:tcPr>
          <w:p w14:paraId="2F3213E8" w14:textId="18AB32AC" w:rsidR="00953FB5" w:rsidRPr="00953FB5" w:rsidRDefault="00953FB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Identify</w:t>
            </w:r>
          </w:p>
        </w:tc>
        <w:tc>
          <w:tcPr>
            <w:tcW w:w="4052" w:type="pct"/>
          </w:tcPr>
          <w:p w14:paraId="2F3280ED" w14:textId="43D4414A" w:rsidR="00953FB5" w:rsidRPr="00A012C6" w:rsidRDefault="006F2AFF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security scans</w:t>
            </w:r>
            <w:r w:rsidR="002D1515">
              <w:rPr>
                <w:sz w:val="20"/>
                <w:szCs w:val="20"/>
              </w:rPr>
              <w:t xml:space="preserve"> perform significant</w:t>
            </w:r>
            <w:r w:rsidR="006A327E">
              <w:rPr>
                <w:sz w:val="20"/>
                <w:szCs w:val="20"/>
              </w:rPr>
              <w:t xml:space="preserve"> oversight on our digital assets, but individual employees should be on the look out for potential cybersecurity incidents and </w:t>
            </w:r>
            <w:r w:rsidR="00166349">
              <w:rPr>
                <w:sz w:val="20"/>
                <w:szCs w:val="20"/>
              </w:rPr>
              <w:t>threats. Individuals who notice unexpected or undesired system beh</w:t>
            </w:r>
            <w:r w:rsidR="00130F79">
              <w:rPr>
                <w:sz w:val="20"/>
                <w:szCs w:val="20"/>
              </w:rPr>
              <w:t>avior, or feel the</w:t>
            </w:r>
            <w:r w:rsidR="004B5B0A">
              <w:rPr>
                <w:sz w:val="20"/>
                <w:szCs w:val="20"/>
              </w:rPr>
              <w:t>re is a potential cybersecurity threat should contact a member of the Incident Response Team as soon as possible.</w:t>
            </w:r>
          </w:p>
        </w:tc>
      </w:tr>
      <w:tr w:rsidR="00953FB5" w:rsidRPr="00A012C6" w14:paraId="5FBF6BAA" w14:textId="77777777" w:rsidTr="00794F05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394A6334" w14:textId="069A2410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17" w:type="pct"/>
          </w:tcPr>
          <w:p w14:paraId="75CC833A" w14:textId="7B63ABBE" w:rsidR="00953FB5" w:rsidRPr="00953FB5" w:rsidRDefault="00953FB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Categorize</w:t>
            </w:r>
          </w:p>
        </w:tc>
        <w:tc>
          <w:tcPr>
            <w:tcW w:w="4052" w:type="pct"/>
          </w:tcPr>
          <w:p w14:paraId="41D33C5C" w14:textId="05A79B10" w:rsidR="00953FB5" w:rsidRDefault="004246D4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Incident Response Team is alerted of a potential cybersecurity threat, th</w:t>
            </w:r>
            <w:r w:rsidR="0015048B">
              <w:rPr>
                <w:sz w:val="20"/>
                <w:szCs w:val="20"/>
              </w:rPr>
              <w:t>ey shall</w:t>
            </w:r>
            <w:r w:rsidR="00370075">
              <w:rPr>
                <w:sz w:val="20"/>
                <w:szCs w:val="20"/>
              </w:rPr>
              <w:t xml:space="preserve"> use the information provided by the reporter to categorize the incident </w:t>
            </w:r>
            <w:r w:rsidR="005C6483">
              <w:rPr>
                <w:sz w:val="20"/>
                <w:szCs w:val="20"/>
              </w:rPr>
              <w:t>based o</w:t>
            </w:r>
            <w:r w:rsidR="00006559">
              <w:rPr>
                <w:sz w:val="20"/>
                <w:szCs w:val="20"/>
              </w:rPr>
              <w:t>n its severity</w:t>
            </w:r>
            <w:r w:rsidR="00C3521D">
              <w:rPr>
                <w:sz w:val="20"/>
                <w:szCs w:val="20"/>
              </w:rPr>
              <w:t>. Formalized severity categories can be found in Appendix A.</w:t>
            </w:r>
          </w:p>
        </w:tc>
      </w:tr>
      <w:tr w:rsidR="00953FB5" w:rsidRPr="00A012C6" w14:paraId="7FCFF87B" w14:textId="77777777" w:rsidTr="0079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6519B7AF" w14:textId="04EFC10B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17" w:type="pct"/>
          </w:tcPr>
          <w:p w14:paraId="26A89E9A" w14:textId="5F6F9D29" w:rsidR="00953FB5" w:rsidRPr="00953FB5" w:rsidRDefault="00953FB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Notify</w:t>
            </w:r>
          </w:p>
        </w:tc>
        <w:tc>
          <w:tcPr>
            <w:tcW w:w="4052" w:type="pct"/>
          </w:tcPr>
          <w:p w14:paraId="2DD92E3F" w14:textId="351CF670" w:rsidR="00953FB5" w:rsidRDefault="00E75E06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the Incident Response Team has </w:t>
            </w:r>
            <w:r w:rsidR="00C63106">
              <w:rPr>
                <w:sz w:val="20"/>
                <w:szCs w:val="20"/>
              </w:rPr>
              <w:t>categorized the incident, they shall notif</w:t>
            </w:r>
            <w:r w:rsidR="00665ED5">
              <w:rPr>
                <w:sz w:val="20"/>
                <w:szCs w:val="20"/>
              </w:rPr>
              <w:t xml:space="preserve">y </w:t>
            </w:r>
            <w:r w:rsidR="00441D05">
              <w:rPr>
                <w:sz w:val="20"/>
                <w:szCs w:val="20"/>
              </w:rPr>
              <w:t>stakeholders, emergency services, and vendors as appropriate for th</w:t>
            </w:r>
            <w:r w:rsidR="00C45D1B">
              <w:rPr>
                <w:sz w:val="20"/>
                <w:szCs w:val="20"/>
              </w:rPr>
              <w:t>e situation.</w:t>
            </w:r>
          </w:p>
        </w:tc>
      </w:tr>
      <w:tr w:rsidR="00953FB5" w:rsidRPr="00A012C6" w14:paraId="6C7D551F" w14:textId="77777777" w:rsidTr="00794F05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349331F6" w14:textId="6EBD2EDB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17" w:type="pct"/>
          </w:tcPr>
          <w:p w14:paraId="0DF0797F" w14:textId="10DC9D26" w:rsidR="00953FB5" w:rsidRPr="00953FB5" w:rsidRDefault="00953FB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Correlate</w:t>
            </w:r>
          </w:p>
        </w:tc>
        <w:tc>
          <w:tcPr>
            <w:tcW w:w="4052" w:type="pct"/>
          </w:tcPr>
          <w:p w14:paraId="5D71A96B" w14:textId="64FD0866" w:rsidR="00953FB5" w:rsidRDefault="005F18A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</w:t>
            </w:r>
            <w:r w:rsidR="00F91BEA">
              <w:rPr>
                <w:sz w:val="20"/>
                <w:szCs w:val="20"/>
              </w:rPr>
              <w:t xml:space="preserve"> Incident Response Team has notified the necessary individuals, they shall use the</w:t>
            </w:r>
            <w:r w:rsidR="007159D4">
              <w:rPr>
                <w:sz w:val="20"/>
                <w:szCs w:val="20"/>
              </w:rPr>
              <w:t xml:space="preserve"> threat category and characteristics of the threat to identify an individual response plan</w:t>
            </w:r>
            <w:r w:rsidR="00234624">
              <w:rPr>
                <w:sz w:val="20"/>
                <w:szCs w:val="20"/>
              </w:rPr>
              <w:t>. If no existing plan covers the exact threat, the Incident Response Team shall use their judgement to identify a suitable stand-in.</w:t>
            </w:r>
          </w:p>
        </w:tc>
      </w:tr>
      <w:tr w:rsidR="00953FB5" w:rsidRPr="00A012C6" w14:paraId="2EB4657B" w14:textId="77777777" w:rsidTr="0079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0CF3153A" w14:textId="0DD0D810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17" w:type="pct"/>
          </w:tcPr>
          <w:p w14:paraId="648218F3" w14:textId="550FF5D0" w:rsidR="00953FB5" w:rsidRPr="00953FB5" w:rsidRDefault="00953FB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Implement</w:t>
            </w:r>
          </w:p>
        </w:tc>
        <w:tc>
          <w:tcPr>
            <w:tcW w:w="4052" w:type="pct"/>
          </w:tcPr>
          <w:p w14:paraId="6E041C09" w14:textId="6C365898" w:rsidR="00953FB5" w:rsidRDefault="005F18A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</w:t>
            </w:r>
            <w:r w:rsidR="00C4040A">
              <w:rPr>
                <w:sz w:val="20"/>
                <w:szCs w:val="20"/>
              </w:rPr>
              <w:t>he Incident Response Team</w:t>
            </w:r>
            <w:r>
              <w:rPr>
                <w:sz w:val="20"/>
                <w:szCs w:val="20"/>
              </w:rPr>
              <w:t xml:space="preserve"> has identified an appropriate individual response plan, they</w:t>
            </w:r>
            <w:r w:rsidR="00C4040A">
              <w:rPr>
                <w:sz w:val="20"/>
                <w:szCs w:val="20"/>
              </w:rPr>
              <w:t xml:space="preserve">, and any </w:t>
            </w:r>
            <w:r w:rsidR="0005280D">
              <w:rPr>
                <w:sz w:val="20"/>
                <w:szCs w:val="20"/>
              </w:rPr>
              <w:t xml:space="preserve">additional stakeholders brought in, will follow the steps of the </w:t>
            </w:r>
            <w:r>
              <w:rPr>
                <w:sz w:val="20"/>
                <w:szCs w:val="20"/>
              </w:rPr>
              <w:t xml:space="preserve">plan </w:t>
            </w:r>
            <w:r w:rsidR="00746C2B">
              <w:rPr>
                <w:sz w:val="20"/>
                <w:szCs w:val="20"/>
              </w:rPr>
              <w:t>to mitigate the effects</w:t>
            </w:r>
            <w:r w:rsidR="005009AA">
              <w:rPr>
                <w:sz w:val="20"/>
                <w:szCs w:val="20"/>
              </w:rPr>
              <w:t xml:space="preserve"> of a cybersecurity incident and restore critical functionality.</w:t>
            </w:r>
          </w:p>
        </w:tc>
      </w:tr>
      <w:tr w:rsidR="00953FB5" w:rsidRPr="00A012C6" w14:paraId="4E4A092A" w14:textId="77777777" w:rsidTr="00794F05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18C1BAED" w14:textId="5EA46B14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17" w:type="pct"/>
          </w:tcPr>
          <w:p w14:paraId="5B2CC8F9" w14:textId="7BC07BA8" w:rsidR="00953FB5" w:rsidRPr="00953FB5" w:rsidRDefault="00953FB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Audit</w:t>
            </w:r>
          </w:p>
        </w:tc>
        <w:tc>
          <w:tcPr>
            <w:tcW w:w="4052" w:type="pct"/>
          </w:tcPr>
          <w:p w14:paraId="6026DF1B" w14:textId="71C812C2" w:rsidR="00953FB5" w:rsidRDefault="00C45D1B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Incident Response Team has restored critical functionality and</w:t>
            </w:r>
            <w:r w:rsidR="00EF4E6C">
              <w:rPr>
                <w:sz w:val="20"/>
                <w:szCs w:val="20"/>
              </w:rPr>
              <w:t xml:space="preserve"> contained the threat, they shall perform an audit of the process. All incident response actions must be documented </w:t>
            </w:r>
            <w:r w:rsidR="004E27A7">
              <w:rPr>
                <w:sz w:val="20"/>
                <w:szCs w:val="20"/>
              </w:rPr>
              <w:t>as they are taken so that specific plans can be added or updated based on the outcomes.</w:t>
            </w:r>
          </w:p>
        </w:tc>
      </w:tr>
    </w:tbl>
    <w:p w14:paraId="60EA0136" w14:textId="1A40EE52" w:rsidR="00050389" w:rsidRPr="00F3469E" w:rsidRDefault="008E5189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E29D3B0" w14:textId="09698404" w:rsidR="00B1551F" w:rsidRDefault="00D76A7C" w:rsidP="00DD070E">
      <w:pPr>
        <w:pStyle w:val="Heading1"/>
        <w:spacing w:line="300" w:lineRule="auto"/>
      </w:pPr>
      <w:bookmarkStart w:id="10" w:name="_Toc90140706"/>
      <w:r>
        <w:lastRenderedPageBreak/>
        <w:t>Appendix A – Security Incident Categories</w:t>
      </w:r>
      <w:bookmarkEnd w:id="10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1054"/>
        <w:gridCol w:w="4524"/>
        <w:gridCol w:w="5438"/>
      </w:tblGrid>
      <w:tr w:rsidR="003F3937" w:rsidRPr="003B16BD" w14:paraId="17D7632E" w14:textId="77777777" w:rsidTr="00D76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" w:type="pct"/>
          </w:tcPr>
          <w:p w14:paraId="1D09D13A" w14:textId="39020F4F" w:rsidR="003F3937" w:rsidRPr="003B16BD" w:rsidRDefault="003F3937" w:rsidP="00DD070E">
            <w:pPr>
              <w:spacing w:line="300" w:lineRule="auto"/>
            </w:pPr>
            <w:r>
              <w:t>Ca</w:t>
            </w:r>
            <w:r w:rsidRPr="001A0759">
              <w:t>teg</w:t>
            </w:r>
            <w:r>
              <w:t>ory</w:t>
            </w:r>
          </w:p>
        </w:tc>
        <w:tc>
          <w:tcPr>
            <w:tcW w:w="2053" w:type="pct"/>
          </w:tcPr>
          <w:p w14:paraId="1CAC5DE9" w14:textId="23F365B5" w:rsidR="003F3937" w:rsidRPr="003B16BD" w:rsidRDefault="003F3937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68" w:type="pct"/>
          </w:tcPr>
          <w:p w14:paraId="1B9B8432" w14:textId="1972A3B5" w:rsidR="003F3937" w:rsidRPr="003B16BD" w:rsidRDefault="003F3937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3937" w14:paraId="1C8A16C0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3D049867" w14:textId="2796B052" w:rsidR="003F3937" w:rsidRPr="00115FA7" w:rsidRDefault="00C0376B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1</w:t>
            </w:r>
          </w:p>
        </w:tc>
        <w:tc>
          <w:tcPr>
            <w:tcW w:w="2053" w:type="pct"/>
          </w:tcPr>
          <w:p w14:paraId="5CC44A1D" w14:textId="53CB05AC" w:rsidR="003F3937" w:rsidRPr="00A012C6" w:rsidRDefault="00B126A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</w:t>
            </w:r>
            <w:r w:rsidRPr="0098239E">
              <w:rPr>
                <w:sz w:val="20"/>
                <w:szCs w:val="20"/>
              </w:rPr>
              <w:t>uth</w:t>
            </w:r>
            <w:r>
              <w:rPr>
                <w:sz w:val="20"/>
                <w:szCs w:val="20"/>
              </w:rPr>
              <w:t>orized Access to Systems</w:t>
            </w:r>
          </w:p>
        </w:tc>
        <w:tc>
          <w:tcPr>
            <w:tcW w:w="2468" w:type="pct"/>
          </w:tcPr>
          <w:p w14:paraId="715C107A" w14:textId="05901C6C" w:rsidR="003F3937" w:rsidRPr="00A012C6" w:rsidRDefault="00B35E7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unauthorized access to protected systems by either internal or external operators</w:t>
            </w:r>
            <w:r w:rsidR="00331721">
              <w:rPr>
                <w:sz w:val="20"/>
                <w:szCs w:val="20"/>
              </w:rPr>
              <w:t>.</w:t>
            </w:r>
          </w:p>
        </w:tc>
      </w:tr>
      <w:tr w:rsidR="00B126A3" w14:paraId="205709AA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51F2EAA0" w14:textId="6A832440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2</w:t>
            </w:r>
          </w:p>
        </w:tc>
        <w:tc>
          <w:tcPr>
            <w:tcW w:w="2053" w:type="pct"/>
          </w:tcPr>
          <w:p w14:paraId="6F1FE732" w14:textId="18D8ABA3" w:rsidR="00B126A3" w:rsidRDefault="00DC45C4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Unauthorized Release of Information</w:t>
            </w:r>
          </w:p>
        </w:tc>
        <w:tc>
          <w:tcPr>
            <w:tcW w:w="2468" w:type="pct"/>
          </w:tcPr>
          <w:p w14:paraId="35F558A9" w14:textId="72DE849D" w:rsidR="00B126A3" w:rsidRPr="00A012C6" w:rsidRDefault="0033172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Confirmed unauthorized disclosure of </w:t>
            </w:r>
            <w:r w:rsidR="00235772">
              <w:rPr>
                <w:sz w:val="20"/>
                <w:szCs w:val="20"/>
              </w:rPr>
              <w:t>DigiKnight Technologies, Inc.</w:t>
            </w:r>
            <w:r>
              <w:rPr>
                <w:sz w:val="20"/>
                <w:szCs w:val="20"/>
              </w:rPr>
              <w:t xml:space="preserve"> information</w:t>
            </w:r>
            <w:r w:rsidR="00907864">
              <w:rPr>
                <w:sz w:val="20"/>
                <w:szCs w:val="20"/>
              </w:rPr>
              <w:t>, including the Personally Identifiable Information of employees, customers, and contractors.</w:t>
            </w:r>
          </w:p>
        </w:tc>
      </w:tr>
      <w:tr w:rsidR="00B126A3" w14:paraId="3910EB5E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75BF40E4" w14:textId="2ABAA2F8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3</w:t>
            </w:r>
          </w:p>
        </w:tc>
        <w:tc>
          <w:tcPr>
            <w:tcW w:w="2053" w:type="pct"/>
          </w:tcPr>
          <w:p w14:paraId="45294FFB" w14:textId="7AA579D6" w:rsidR="00B126A3" w:rsidRDefault="00DC45C4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Intrusion</w:t>
            </w:r>
          </w:p>
        </w:tc>
        <w:tc>
          <w:tcPr>
            <w:tcW w:w="2468" w:type="pct"/>
          </w:tcPr>
          <w:p w14:paraId="5CEE326A" w14:textId="6621FD53" w:rsidR="00B126A3" w:rsidRPr="00A012C6" w:rsidRDefault="00C62F4A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external network intrusion attempts such as DoS/DDoS attac</w:t>
            </w:r>
            <w:r w:rsidR="008204BE">
              <w:rPr>
                <w:sz w:val="20"/>
                <w:szCs w:val="20"/>
              </w:rPr>
              <w:t>ks.</w:t>
            </w:r>
          </w:p>
        </w:tc>
      </w:tr>
      <w:tr w:rsidR="00B126A3" w14:paraId="5202CB8E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0F868A15" w14:textId="070B763A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4</w:t>
            </w:r>
          </w:p>
        </w:tc>
        <w:tc>
          <w:tcPr>
            <w:tcW w:w="2053" w:type="pct"/>
          </w:tcPr>
          <w:p w14:paraId="376C1422" w14:textId="50868A32" w:rsidR="00B126A3" w:rsidRDefault="00DC45C4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Malicious Code</w:t>
            </w:r>
          </w:p>
        </w:tc>
        <w:tc>
          <w:tcPr>
            <w:tcW w:w="2468" w:type="pct"/>
          </w:tcPr>
          <w:p w14:paraId="484D2149" w14:textId="5A2306CE" w:rsidR="00B126A3" w:rsidRPr="00A012C6" w:rsidRDefault="008204B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installation or attempted installation of foreign and malicious software onto company</w:t>
            </w:r>
            <w:r w:rsidR="00352D42">
              <w:rPr>
                <w:sz w:val="20"/>
                <w:szCs w:val="20"/>
              </w:rPr>
              <w:t xml:space="preserve"> hardware. Includes the installation of malware, viruses, keyloggers, and any other malicious</w:t>
            </w:r>
            <w:r w:rsidR="00384818">
              <w:rPr>
                <w:sz w:val="20"/>
                <w:szCs w:val="20"/>
              </w:rPr>
              <w:t xml:space="preserve"> code.</w:t>
            </w:r>
          </w:p>
        </w:tc>
      </w:tr>
      <w:tr w:rsidR="00B126A3" w14:paraId="3364298A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5F7E3178" w14:textId="05D67944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5</w:t>
            </w:r>
          </w:p>
        </w:tc>
        <w:tc>
          <w:tcPr>
            <w:tcW w:w="2053" w:type="pct"/>
          </w:tcPr>
          <w:p w14:paraId="073CB804" w14:textId="6761F270" w:rsidR="00B126A3" w:rsidRDefault="00CA77B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External </w:t>
            </w:r>
            <w:r w:rsidR="00DC45C4">
              <w:rPr>
                <w:sz w:val="20"/>
                <w:szCs w:val="20"/>
              </w:rPr>
              <w:t>Reconnaissance</w:t>
            </w:r>
          </w:p>
        </w:tc>
        <w:tc>
          <w:tcPr>
            <w:tcW w:w="2468" w:type="pct"/>
          </w:tcPr>
          <w:p w14:paraId="3F6C28C0" w14:textId="1D440ACE" w:rsidR="00B126A3" w:rsidRPr="00A012C6" w:rsidRDefault="00384818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Confirmed external reconnaissance of </w:t>
            </w:r>
            <w:r w:rsidR="00235772">
              <w:rPr>
                <w:sz w:val="20"/>
                <w:szCs w:val="20"/>
              </w:rPr>
              <w:t>DigiKnight Technologies, Inc.</w:t>
            </w:r>
            <w:r>
              <w:rPr>
                <w:sz w:val="20"/>
                <w:szCs w:val="20"/>
              </w:rPr>
              <w:t xml:space="preserve"> network vulnerabilities including but not limited to</w:t>
            </w:r>
            <w:r w:rsidR="0053767B">
              <w:rPr>
                <w:sz w:val="20"/>
                <w:szCs w:val="20"/>
              </w:rPr>
              <w:t>: port scanning, phishing attempts, and ping sweeps.</w:t>
            </w:r>
          </w:p>
        </w:tc>
      </w:tr>
      <w:tr w:rsidR="00B126A3" w14:paraId="137695CC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73BC4191" w14:textId="7CAD0B61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6</w:t>
            </w:r>
          </w:p>
        </w:tc>
        <w:tc>
          <w:tcPr>
            <w:tcW w:w="2053" w:type="pct"/>
          </w:tcPr>
          <w:p w14:paraId="182C4B5E" w14:textId="2F74BF1E" w:rsidR="00B126A3" w:rsidRDefault="00CA77B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Breach or Privilege Abuse</w:t>
            </w:r>
          </w:p>
        </w:tc>
        <w:tc>
          <w:tcPr>
            <w:tcW w:w="2468" w:type="pct"/>
          </w:tcPr>
          <w:p w14:paraId="76541A01" w14:textId="2054F0FC" w:rsidR="00B126A3" w:rsidRPr="00A012C6" w:rsidRDefault="0053767B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loss</w:t>
            </w:r>
            <w:r w:rsidR="009B6AF0">
              <w:rPr>
                <w:sz w:val="20"/>
                <w:szCs w:val="20"/>
              </w:rPr>
              <w:t xml:space="preserve">/theft/breach of passwords or authentication tokens to </w:t>
            </w:r>
            <w:r w:rsidR="00235772">
              <w:rPr>
                <w:sz w:val="20"/>
                <w:szCs w:val="20"/>
              </w:rPr>
              <w:t>DigiKnight Technologies, Inc.</w:t>
            </w:r>
            <w:r w:rsidR="009B6AF0">
              <w:rPr>
                <w:sz w:val="20"/>
                <w:szCs w:val="20"/>
              </w:rPr>
              <w:t xml:space="preserve"> property. Changes to local </w:t>
            </w:r>
            <w:r w:rsidR="00705E21">
              <w:rPr>
                <w:sz w:val="20"/>
                <w:szCs w:val="20"/>
              </w:rPr>
              <w:t xml:space="preserve">privilege settings of company </w:t>
            </w:r>
            <w:r w:rsidR="00B157BF">
              <w:rPr>
                <w:sz w:val="20"/>
                <w:szCs w:val="20"/>
              </w:rPr>
              <w:t>devices</w:t>
            </w:r>
            <w:r w:rsidR="00705E21">
              <w:rPr>
                <w:sz w:val="20"/>
                <w:szCs w:val="20"/>
              </w:rPr>
              <w:t xml:space="preserve"> outside of </w:t>
            </w:r>
            <w:r w:rsidR="00B157BF">
              <w:rPr>
                <w:sz w:val="20"/>
                <w:szCs w:val="20"/>
              </w:rPr>
              <w:t>the stated change management process.</w:t>
            </w:r>
          </w:p>
        </w:tc>
      </w:tr>
      <w:tr w:rsidR="00B126A3" w14:paraId="2A24F275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3F82B3D4" w14:textId="1DA3749D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7</w:t>
            </w:r>
          </w:p>
        </w:tc>
        <w:tc>
          <w:tcPr>
            <w:tcW w:w="2053" w:type="pct"/>
          </w:tcPr>
          <w:p w14:paraId="1439B272" w14:textId="53212964" w:rsidR="00B126A3" w:rsidRDefault="00C66D8C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Security Policy Violation</w:t>
            </w:r>
          </w:p>
        </w:tc>
        <w:tc>
          <w:tcPr>
            <w:tcW w:w="2468" w:type="pct"/>
          </w:tcPr>
          <w:p w14:paraId="047F7E82" w14:textId="3756AAB0" w:rsidR="00B126A3" w:rsidRPr="00A012C6" w:rsidRDefault="00E8308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violation of any stated company information security policy.</w:t>
            </w:r>
          </w:p>
        </w:tc>
      </w:tr>
      <w:tr w:rsidR="00B126A3" w14:paraId="18A5887B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709B4494" w14:textId="51C3F987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8</w:t>
            </w:r>
          </w:p>
        </w:tc>
        <w:tc>
          <w:tcPr>
            <w:tcW w:w="2053" w:type="pct"/>
          </w:tcPr>
          <w:p w14:paraId="0FA2D875" w14:textId="06EAE78A" w:rsidR="00B126A3" w:rsidRDefault="00C66D8C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</w:t>
            </w:r>
            <w:r w:rsidR="00067919">
              <w:rPr>
                <w:sz w:val="20"/>
                <w:szCs w:val="20"/>
              </w:rPr>
              <w:t xml:space="preserve"> System Behavior or Failure</w:t>
            </w:r>
          </w:p>
        </w:tc>
        <w:tc>
          <w:tcPr>
            <w:tcW w:w="2468" w:type="pct"/>
          </w:tcPr>
          <w:p w14:paraId="7556A930" w14:textId="2CAE7B45" w:rsidR="00B126A3" w:rsidRPr="00A012C6" w:rsidRDefault="00F124E8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unexpected network or system behavior including but not limited to: network</w:t>
            </w:r>
            <w:r w:rsidR="00D82502">
              <w:rPr>
                <w:sz w:val="20"/>
                <w:szCs w:val="20"/>
              </w:rPr>
              <w:t xml:space="preserve"> degradation, increased bandwidth usage, excessive processor or memory use</w:t>
            </w:r>
            <w:r w:rsidR="000855A7">
              <w:rPr>
                <w:sz w:val="20"/>
                <w:szCs w:val="20"/>
              </w:rPr>
              <w:t>, and suspicious network requests.</w:t>
            </w:r>
          </w:p>
        </w:tc>
      </w:tr>
      <w:tr w:rsidR="00067919" w14:paraId="56D5E898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63EC5C90" w14:textId="24AC0B9D" w:rsidR="00067919" w:rsidRPr="00115FA7" w:rsidRDefault="00067919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9</w:t>
            </w:r>
          </w:p>
        </w:tc>
        <w:tc>
          <w:tcPr>
            <w:tcW w:w="2053" w:type="pct"/>
          </w:tcPr>
          <w:p w14:paraId="7DA7E7C9" w14:textId="661B7DD9" w:rsidR="00067919" w:rsidRDefault="00115FA7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Investigation</w:t>
            </w:r>
          </w:p>
        </w:tc>
        <w:tc>
          <w:tcPr>
            <w:tcW w:w="2468" w:type="pct"/>
          </w:tcPr>
          <w:p w14:paraId="2D74044E" w14:textId="21A58616" w:rsidR="00067919" w:rsidRPr="00A012C6" w:rsidRDefault="000855A7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Unconfirmed</w:t>
            </w:r>
            <w:r w:rsidR="00227852">
              <w:rPr>
                <w:sz w:val="20"/>
                <w:szCs w:val="20"/>
              </w:rPr>
              <w:t xml:space="preserve">, potentially malicious, incidents and anomalies within the </w:t>
            </w:r>
            <w:r w:rsidR="00235772">
              <w:rPr>
                <w:sz w:val="20"/>
                <w:szCs w:val="20"/>
              </w:rPr>
              <w:t>DigiKnight Technologies, Inc.</w:t>
            </w:r>
            <w:r w:rsidR="00227852">
              <w:rPr>
                <w:sz w:val="20"/>
                <w:szCs w:val="20"/>
              </w:rPr>
              <w:t xml:space="preserve"> network</w:t>
            </w:r>
            <w:r w:rsidR="00FD741F">
              <w:rPr>
                <w:sz w:val="20"/>
                <w:szCs w:val="20"/>
              </w:rPr>
              <w:t>.</w:t>
            </w:r>
          </w:p>
        </w:tc>
      </w:tr>
    </w:tbl>
    <w:p w14:paraId="69F654FE" w14:textId="6E6B6D8E" w:rsidR="00050389" w:rsidRDefault="00050389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sectPr w:rsidR="00050389" w:rsidSect="00C3088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BE19" w14:textId="77777777" w:rsidR="004F1DD8" w:rsidRDefault="004F1DD8">
      <w:pPr>
        <w:spacing w:after="0" w:line="240" w:lineRule="auto"/>
      </w:pPr>
      <w:r>
        <w:separator/>
      </w:r>
    </w:p>
  </w:endnote>
  <w:endnote w:type="continuationSeparator" w:id="0">
    <w:p w14:paraId="4355E53E" w14:textId="77777777" w:rsidR="004F1DD8" w:rsidRDefault="004F1DD8">
      <w:pPr>
        <w:spacing w:after="0" w:line="240" w:lineRule="auto"/>
      </w:pPr>
      <w:r>
        <w:continuationSeparator/>
      </w:r>
    </w:p>
  </w:endnote>
  <w:endnote w:type="continuationNotice" w:id="1">
    <w:p w14:paraId="5C78DF8E" w14:textId="77777777" w:rsidR="004F1DD8" w:rsidRDefault="004F1D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F16121" w14:paraId="4A658D66" w14:textId="77777777" w:rsidTr="21F16121">
      <w:tc>
        <w:tcPr>
          <w:tcW w:w="3120" w:type="dxa"/>
        </w:tcPr>
        <w:p w14:paraId="7C187640" w14:textId="358E1F08" w:rsidR="21F16121" w:rsidRDefault="21F16121" w:rsidP="21F16121">
          <w:pPr>
            <w:pStyle w:val="Header"/>
            <w:ind w:left="-115"/>
          </w:pPr>
        </w:p>
      </w:tc>
      <w:tc>
        <w:tcPr>
          <w:tcW w:w="3120" w:type="dxa"/>
        </w:tcPr>
        <w:p w14:paraId="74EB47E6" w14:textId="5F80DD33" w:rsidR="21F16121" w:rsidRDefault="21F16121" w:rsidP="21F16121">
          <w:pPr>
            <w:pStyle w:val="Header"/>
            <w:jc w:val="center"/>
          </w:pPr>
        </w:p>
      </w:tc>
      <w:tc>
        <w:tcPr>
          <w:tcW w:w="3120" w:type="dxa"/>
        </w:tcPr>
        <w:p w14:paraId="09C14C33" w14:textId="7786FC62" w:rsidR="21F16121" w:rsidRDefault="21F16121" w:rsidP="21F16121">
          <w:pPr>
            <w:pStyle w:val="Header"/>
            <w:ind w:right="-115"/>
            <w:jc w:val="right"/>
          </w:pPr>
        </w:p>
      </w:tc>
    </w:tr>
  </w:tbl>
  <w:p w14:paraId="58EAC1AB" w14:textId="6FAC389B" w:rsidR="21F16121" w:rsidRDefault="21F16121" w:rsidP="000503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F16121" w14:paraId="48A444A2" w14:textId="77777777" w:rsidTr="21F16121">
      <w:tc>
        <w:tcPr>
          <w:tcW w:w="3120" w:type="dxa"/>
        </w:tcPr>
        <w:p w14:paraId="467955AB" w14:textId="7D35CFE7" w:rsidR="21F16121" w:rsidRDefault="21F16121" w:rsidP="21F16121">
          <w:pPr>
            <w:pStyle w:val="Header"/>
            <w:ind w:left="-115"/>
          </w:pPr>
        </w:p>
      </w:tc>
      <w:tc>
        <w:tcPr>
          <w:tcW w:w="3120" w:type="dxa"/>
        </w:tcPr>
        <w:p w14:paraId="357EEB6D" w14:textId="0288D893" w:rsidR="21F16121" w:rsidRDefault="21F16121" w:rsidP="21F16121">
          <w:pPr>
            <w:pStyle w:val="Header"/>
            <w:jc w:val="center"/>
          </w:pPr>
        </w:p>
      </w:tc>
      <w:tc>
        <w:tcPr>
          <w:tcW w:w="3120" w:type="dxa"/>
        </w:tcPr>
        <w:p w14:paraId="37C20B77" w14:textId="6EE50E6C" w:rsidR="21F16121" w:rsidRDefault="21F16121" w:rsidP="21F16121">
          <w:pPr>
            <w:pStyle w:val="Header"/>
            <w:ind w:right="-115"/>
            <w:jc w:val="right"/>
          </w:pPr>
        </w:p>
      </w:tc>
    </w:tr>
  </w:tbl>
  <w:p w14:paraId="17E03B26" w14:textId="027083FD" w:rsidR="21F16121" w:rsidRDefault="21F16121" w:rsidP="21F16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D592" w14:textId="77777777" w:rsidR="004F1DD8" w:rsidRDefault="004F1DD8">
      <w:pPr>
        <w:spacing w:after="0" w:line="240" w:lineRule="auto"/>
      </w:pPr>
      <w:r>
        <w:separator/>
      </w:r>
    </w:p>
  </w:footnote>
  <w:footnote w:type="continuationSeparator" w:id="0">
    <w:p w14:paraId="7F3B9AAE" w14:textId="77777777" w:rsidR="004F1DD8" w:rsidRDefault="004F1DD8">
      <w:pPr>
        <w:spacing w:after="0" w:line="240" w:lineRule="auto"/>
      </w:pPr>
      <w:r>
        <w:continuationSeparator/>
      </w:r>
    </w:p>
  </w:footnote>
  <w:footnote w:type="continuationNotice" w:id="1">
    <w:p w14:paraId="0E7C8944" w14:textId="77777777" w:rsidR="004F1DD8" w:rsidRDefault="004F1D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6A0" w:firstRow="1" w:lastRow="0" w:firstColumn="1" w:lastColumn="0" w:noHBand="1" w:noVBand="1"/>
    </w:tblPr>
    <w:tblGrid>
      <w:gridCol w:w="4573"/>
      <w:gridCol w:w="2772"/>
      <w:gridCol w:w="3671"/>
    </w:tblGrid>
    <w:tr w:rsidR="21F16121" w14:paraId="15E68E67" w14:textId="77777777" w:rsidTr="00211FDC">
      <w:trPr>
        <w:trHeight w:val="290"/>
      </w:trPr>
      <w:tc>
        <w:tcPr>
          <w:tcW w:w="2076" w:type="pct"/>
        </w:tcPr>
        <w:p w14:paraId="38FB3515" w14:textId="4FBA8775" w:rsidR="21F16121" w:rsidRDefault="587A54AD" w:rsidP="21F16121">
          <w:pPr>
            <w:pStyle w:val="Header"/>
            <w:ind w:left="-115"/>
          </w:pPr>
          <w:r>
            <w:t>INCIDENT RESPONSE PLAN</w:t>
          </w:r>
        </w:p>
      </w:tc>
      <w:tc>
        <w:tcPr>
          <w:tcW w:w="1258" w:type="pct"/>
        </w:tcPr>
        <w:p w14:paraId="3C047E34" w14:textId="274C5B34" w:rsidR="21F16121" w:rsidRDefault="21F16121" w:rsidP="21F16121">
          <w:pPr>
            <w:pStyle w:val="Header"/>
            <w:jc w:val="center"/>
          </w:pPr>
        </w:p>
      </w:tc>
      <w:tc>
        <w:tcPr>
          <w:tcW w:w="1666" w:type="pct"/>
        </w:tcPr>
        <w:p w14:paraId="5043ACEE" w14:textId="2A94AC28" w:rsidR="21F16121" w:rsidRDefault="21F16121" w:rsidP="21F1612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63F57">
            <w:rPr>
              <w:noProof/>
            </w:rPr>
            <w:t>2</w:t>
          </w:r>
          <w:r>
            <w:fldChar w:fldCharType="end"/>
          </w:r>
        </w:p>
      </w:tc>
    </w:tr>
  </w:tbl>
  <w:p w14:paraId="1BFEB2A0" w14:textId="6EB6F4DF" w:rsidR="21F16121" w:rsidRDefault="21F16121" w:rsidP="00050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6A0" w:firstRow="1" w:lastRow="0" w:firstColumn="1" w:lastColumn="0" w:noHBand="1" w:noVBand="1"/>
    </w:tblPr>
    <w:tblGrid>
      <w:gridCol w:w="2754"/>
      <w:gridCol w:w="2754"/>
      <w:gridCol w:w="2754"/>
      <w:gridCol w:w="2754"/>
    </w:tblGrid>
    <w:tr w:rsidR="00C3088E" w14:paraId="140AF6D4" w14:textId="77777777" w:rsidTr="00C3088E">
      <w:tc>
        <w:tcPr>
          <w:tcW w:w="1250" w:type="pct"/>
        </w:tcPr>
        <w:p w14:paraId="6C6F0DBC" w14:textId="0A7C33E5" w:rsidR="00C3088E" w:rsidRDefault="00C3088E" w:rsidP="21F16121">
          <w:pPr>
            <w:pStyle w:val="Header"/>
            <w:ind w:left="-115"/>
          </w:pPr>
        </w:p>
      </w:tc>
      <w:tc>
        <w:tcPr>
          <w:tcW w:w="1250" w:type="pct"/>
        </w:tcPr>
        <w:p w14:paraId="3E08EB1B" w14:textId="77777777" w:rsidR="00C3088E" w:rsidRDefault="00C3088E" w:rsidP="21F16121">
          <w:pPr>
            <w:pStyle w:val="Header"/>
            <w:jc w:val="center"/>
          </w:pPr>
        </w:p>
      </w:tc>
      <w:tc>
        <w:tcPr>
          <w:tcW w:w="1250" w:type="pct"/>
        </w:tcPr>
        <w:p w14:paraId="6EFBB265" w14:textId="6C316552" w:rsidR="00C3088E" w:rsidRDefault="00C3088E" w:rsidP="21F16121">
          <w:pPr>
            <w:pStyle w:val="Header"/>
            <w:jc w:val="center"/>
          </w:pPr>
        </w:p>
      </w:tc>
      <w:tc>
        <w:tcPr>
          <w:tcW w:w="1250" w:type="pct"/>
        </w:tcPr>
        <w:p w14:paraId="233BE590" w14:textId="115ED907" w:rsidR="00C3088E" w:rsidRDefault="00C3088E" w:rsidP="21F16121">
          <w:pPr>
            <w:pStyle w:val="Header"/>
            <w:ind w:right="-115"/>
            <w:jc w:val="right"/>
          </w:pPr>
          <w:r>
            <w:t>1</w:t>
          </w:r>
        </w:p>
      </w:tc>
    </w:tr>
  </w:tbl>
  <w:p w14:paraId="598563DF" w14:textId="43285E23" w:rsidR="21F16121" w:rsidRDefault="21F16121" w:rsidP="21F16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D74"/>
    <w:multiLevelType w:val="multilevel"/>
    <w:tmpl w:val="A6A0B7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FDB0395"/>
    <w:multiLevelType w:val="hybridMultilevel"/>
    <w:tmpl w:val="C1EC2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74C64"/>
    <w:multiLevelType w:val="multilevel"/>
    <w:tmpl w:val="A6A0B7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5F0AFE"/>
    <w:multiLevelType w:val="hybridMultilevel"/>
    <w:tmpl w:val="59FED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8C5748"/>
    <w:multiLevelType w:val="hybridMultilevel"/>
    <w:tmpl w:val="3B3008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F5248D1"/>
    <w:multiLevelType w:val="hybridMultilevel"/>
    <w:tmpl w:val="C0063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06559"/>
    <w:rsid w:val="00042BAE"/>
    <w:rsid w:val="000440AC"/>
    <w:rsid w:val="00050389"/>
    <w:rsid w:val="0005280D"/>
    <w:rsid w:val="000534EE"/>
    <w:rsid w:val="00054483"/>
    <w:rsid w:val="000635DD"/>
    <w:rsid w:val="00067919"/>
    <w:rsid w:val="000855A7"/>
    <w:rsid w:val="000A26A8"/>
    <w:rsid w:val="000A2A8A"/>
    <w:rsid w:val="000B476D"/>
    <w:rsid w:val="000C07E3"/>
    <w:rsid w:val="000C5179"/>
    <w:rsid w:val="00103C7F"/>
    <w:rsid w:val="00115FA7"/>
    <w:rsid w:val="00130302"/>
    <w:rsid w:val="00130F79"/>
    <w:rsid w:val="001317F3"/>
    <w:rsid w:val="00134DFC"/>
    <w:rsid w:val="00141272"/>
    <w:rsid w:val="001431A7"/>
    <w:rsid w:val="0015048B"/>
    <w:rsid w:val="00153914"/>
    <w:rsid w:val="001620D9"/>
    <w:rsid w:val="00166349"/>
    <w:rsid w:val="00197722"/>
    <w:rsid w:val="001A0759"/>
    <w:rsid w:val="001A12F0"/>
    <w:rsid w:val="001E5EAA"/>
    <w:rsid w:val="001F4DF7"/>
    <w:rsid w:val="001F5713"/>
    <w:rsid w:val="00211052"/>
    <w:rsid w:val="00211FDC"/>
    <w:rsid w:val="0021266E"/>
    <w:rsid w:val="002126B8"/>
    <w:rsid w:val="00215B4A"/>
    <w:rsid w:val="00227852"/>
    <w:rsid w:val="0023093D"/>
    <w:rsid w:val="00234624"/>
    <w:rsid w:val="00235772"/>
    <w:rsid w:val="00236903"/>
    <w:rsid w:val="002440DB"/>
    <w:rsid w:val="00261778"/>
    <w:rsid w:val="0026310B"/>
    <w:rsid w:val="0027394A"/>
    <w:rsid w:val="00277C81"/>
    <w:rsid w:val="002805DD"/>
    <w:rsid w:val="0028449E"/>
    <w:rsid w:val="00297C1E"/>
    <w:rsid w:val="002D1515"/>
    <w:rsid w:val="002D5037"/>
    <w:rsid w:val="002E3A30"/>
    <w:rsid w:val="002F43BB"/>
    <w:rsid w:val="00330E46"/>
    <w:rsid w:val="00331721"/>
    <w:rsid w:val="00333242"/>
    <w:rsid w:val="00344798"/>
    <w:rsid w:val="00344ED4"/>
    <w:rsid w:val="00352D42"/>
    <w:rsid w:val="00362E40"/>
    <w:rsid w:val="00370075"/>
    <w:rsid w:val="00384818"/>
    <w:rsid w:val="003A688C"/>
    <w:rsid w:val="003C2A34"/>
    <w:rsid w:val="003C5B9A"/>
    <w:rsid w:val="003D72C1"/>
    <w:rsid w:val="003E784A"/>
    <w:rsid w:val="003F3937"/>
    <w:rsid w:val="004246D4"/>
    <w:rsid w:val="00432268"/>
    <w:rsid w:val="00441D05"/>
    <w:rsid w:val="00451E8C"/>
    <w:rsid w:val="004535E1"/>
    <w:rsid w:val="00463A44"/>
    <w:rsid w:val="00481754"/>
    <w:rsid w:val="004840C9"/>
    <w:rsid w:val="004963AD"/>
    <w:rsid w:val="004A3B87"/>
    <w:rsid w:val="004B5B0A"/>
    <w:rsid w:val="004C7591"/>
    <w:rsid w:val="004D06BA"/>
    <w:rsid w:val="004E27A7"/>
    <w:rsid w:val="004F0760"/>
    <w:rsid w:val="004F1DD8"/>
    <w:rsid w:val="005009AA"/>
    <w:rsid w:val="0051790F"/>
    <w:rsid w:val="0053767B"/>
    <w:rsid w:val="00554C96"/>
    <w:rsid w:val="00557466"/>
    <w:rsid w:val="005605CA"/>
    <w:rsid w:val="00566C94"/>
    <w:rsid w:val="0058093B"/>
    <w:rsid w:val="00583E29"/>
    <w:rsid w:val="00596B0F"/>
    <w:rsid w:val="005C6483"/>
    <w:rsid w:val="005E6DA8"/>
    <w:rsid w:val="005F18A5"/>
    <w:rsid w:val="00606624"/>
    <w:rsid w:val="0063018D"/>
    <w:rsid w:val="0063600C"/>
    <w:rsid w:val="00636A41"/>
    <w:rsid w:val="00643587"/>
    <w:rsid w:val="00643993"/>
    <w:rsid w:val="0066044B"/>
    <w:rsid w:val="00663F57"/>
    <w:rsid w:val="00665ED5"/>
    <w:rsid w:val="00671C17"/>
    <w:rsid w:val="0067345A"/>
    <w:rsid w:val="00680CB8"/>
    <w:rsid w:val="006965CA"/>
    <w:rsid w:val="006A327E"/>
    <w:rsid w:val="006D3E70"/>
    <w:rsid w:val="006D48B9"/>
    <w:rsid w:val="006D54CF"/>
    <w:rsid w:val="006D5728"/>
    <w:rsid w:val="006E1B90"/>
    <w:rsid w:val="006E5EC7"/>
    <w:rsid w:val="006F2AFF"/>
    <w:rsid w:val="006F41B4"/>
    <w:rsid w:val="006F5E43"/>
    <w:rsid w:val="00705E21"/>
    <w:rsid w:val="007159D4"/>
    <w:rsid w:val="007219B2"/>
    <w:rsid w:val="0072344D"/>
    <w:rsid w:val="00736DBD"/>
    <w:rsid w:val="00746C2B"/>
    <w:rsid w:val="00784A53"/>
    <w:rsid w:val="0078540E"/>
    <w:rsid w:val="00794F05"/>
    <w:rsid w:val="007953FD"/>
    <w:rsid w:val="007A2DAF"/>
    <w:rsid w:val="007A4D7F"/>
    <w:rsid w:val="007A5565"/>
    <w:rsid w:val="007B4E8F"/>
    <w:rsid w:val="007C3AB7"/>
    <w:rsid w:val="007E201E"/>
    <w:rsid w:val="007E5DFF"/>
    <w:rsid w:val="007E74BC"/>
    <w:rsid w:val="007F38C2"/>
    <w:rsid w:val="007F68EF"/>
    <w:rsid w:val="00813E5A"/>
    <w:rsid w:val="008204BE"/>
    <w:rsid w:val="008645B4"/>
    <w:rsid w:val="0086672C"/>
    <w:rsid w:val="00866BAD"/>
    <w:rsid w:val="008713B9"/>
    <w:rsid w:val="008964CA"/>
    <w:rsid w:val="008A08D9"/>
    <w:rsid w:val="008D12C2"/>
    <w:rsid w:val="008E5189"/>
    <w:rsid w:val="008F3711"/>
    <w:rsid w:val="008F75F2"/>
    <w:rsid w:val="00901170"/>
    <w:rsid w:val="00901412"/>
    <w:rsid w:val="009027A4"/>
    <w:rsid w:val="00907864"/>
    <w:rsid w:val="00915559"/>
    <w:rsid w:val="00926675"/>
    <w:rsid w:val="00927CFF"/>
    <w:rsid w:val="009421B8"/>
    <w:rsid w:val="00942204"/>
    <w:rsid w:val="00947ACB"/>
    <w:rsid w:val="00953FB5"/>
    <w:rsid w:val="00955214"/>
    <w:rsid w:val="0098239E"/>
    <w:rsid w:val="009904AC"/>
    <w:rsid w:val="00994871"/>
    <w:rsid w:val="009A21DC"/>
    <w:rsid w:val="009B6AF0"/>
    <w:rsid w:val="009E1323"/>
    <w:rsid w:val="009E5528"/>
    <w:rsid w:val="009F34D8"/>
    <w:rsid w:val="00A044CE"/>
    <w:rsid w:val="00A24B2A"/>
    <w:rsid w:val="00A36919"/>
    <w:rsid w:val="00A43BCB"/>
    <w:rsid w:val="00A5527A"/>
    <w:rsid w:val="00A7725C"/>
    <w:rsid w:val="00A90A59"/>
    <w:rsid w:val="00AB2760"/>
    <w:rsid w:val="00AC472F"/>
    <w:rsid w:val="00AF30CC"/>
    <w:rsid w:val="00AF4901"/>
    <w:rsid w:val="00B126A3"/>
    <w:rsid w:val="00B1551F"/>
    <w:rsid w:val="00B157BF"/>
    <w:rsid w:val="00B35E73"/>
    <w:rsid w:val="00B419B0"/>
    <w:rsid w:val="00B85E5F"/>
    <w:rsid w:val="00BB3BDC"/>
    <w:rsid w:val="00BC421E"/>
    <w:rsid w:val="00BC5FCD"/>
    <w:rsid w:val="00BD52AA"/>
    <w:rsid w:val="00BF5734"/>
    <w:rsid w:val="00C0376B"/>
    <w:rsid w:val="00C3088E"/>
    <w:rsid w:val="00C351A3"/>
    <w:rsid w:val="00C3521D"/>
    <w:rsid w:val="00C4040A"/>
    <w:rsid w:val="00C45D1B"/>
    <w:rsid w:val="00C62F4A"/>
    <w:rsid w:val="00C63106"/>
    <w:rsid w:val="00C66D8C"/>
    <w:rsid w:val="00C728EE"/>
    <w:rsid w:val="00C90C47"/>
    <w:rsid w:val="00C90DB7"/>
    <w:rsid w:val="00CA77B1"/>
    <w:rsid w:val="00CE55C9"/>
    <w:rsid w:val="00CE66AD"/>
    <w:rsid w:val="00CF5EC5"/>
    <w:rsid w:val="00D05B1E"/>
    <w:rsid w:val="00D114C1"/>
    <w:rsid w:val="00D21133"/>
    <w:rsid w:val="00D33F65"/>
    <w:rsid w:val="00D43672"/>
    <w:rsid w:val="00D546AA"/>
    <w:rsid w:val="00D76A7C"/>
    <w:rsid w:val="00D82502"/>
    <w:rsid w:val="00DB4CD2"/>
    <w:rsid w:val="00DB7798"/>
    <w:rsid w:val="00DC45C4"/>
    <w:rsid w:val="00DD00B0"/>
    <w:rsid w:val="00DD070E"/>
    <w:rsid w:val="00DE6C6D"/>
    <w:rsid w:val="00DF3E7F"/>
    <w:rsid w:val="00E00792"/>
    <w:rsid w:val="00E144C2"/>
    <w:rsid w:val="00E50AEB"/>
    <w:rsid w:val="00E5739C"/>
    <w:rsid w:val="00E75E06"/>
    <w:rsid w:val="00E83085"/>
    <w:rsid w:val="00E85B37"/>
    <w:rsid w:val="00E92E49"/>
    <w:rsid w:val="00EA2F92"/>
    <w:rsid w:val="00EB2019"/>
    <w:rsid w:val="00EF0D86"/>
    <w:rsid w:val="00EF1415"/>
    <w:rsid w:val="00EF3FC5"/>
    <w:rsid w:val="00EF4E6C"/>
    <w:rsid w:val="00F124E8"/>
    <w:rsid w:val="00F31095"/>
    <w:rsid w:val="00F3469E"/>
    <w:rsid w:val="00F3549A"/>
    <w:rsid w:val="00F44EB9"/>
    <w:rsid w:val="00F601CA"/>
    <w:rsid w:val="00F60F47"/>
    <w:rsid w:val="00F72F73"/>
    <w:rsid w:val="00F74AA9"/>
    <w:rsid w:val="00F750AE"/>
    <w:rsid w:val="00F91BEA"/>
    <w:rsid w:val="00FD741F"/>
    <w:rsid w:val="00FD75AA"/>
    <w:rsid w:val="00FF1F55"/>
    <w:rsid w:val="01037549"/>
    <w:rsid w:val="1591AAEF"/>
    <w:rsid w:val="1C3D6718"/>
    <w:rsid w:val="21F16121"/>
    <w:rsid w:val="46D9A8F6"/>
    <w:rsid w:val="4CA75B34"/>
    <w:rsid w:val="4FBF47D4"/>
    <w:rsid w:val="52FE8DFF"/>
    <w:rsid w:val="580F3B5C"/>
    <w:rsid w:val="587A54AD"/>
    <w:rsid w:val="592927B2"/>
    <w:rsid w:val="606C3E35"/>
    <w:rsid w:val="61780196"/>
    <w:rsid w:val="626CA45B"/>
    <w:rsid w:val="6A5E8DE3"/>
    <w:rsid w:val="6B44597A"/>
    <w:rsid w:val="6E91797C"/>
    <w:rsid w:val="70F956BB"/>
    <w:rsid w:val="751141D5"/>
    <w:rsid w:val="76E0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8618B"/>
  <w15:docId w15:val="{020D1DDB-8EE8-468A-AF0A-B106E9E5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2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63F57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3F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F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2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51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518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24B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C42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GridTable7Colorful-Accent1">
    <w:name w:val="Grid Table 7 Colorful Accent 1"/>
    <w:basedOn w:val="TableNormal"/>
    <w:uiPriority w:val="52"/>
    <w:rsid w:val="005605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Emphasis">
    <w:name w:val="Emphasis"/>
    <w:basedOn w:val="DefaultParagraphFont"/>
    <w:uiPriority w:val="20"/>
    <w:qFormat/>
    <w:rsid w:val="00CE55C9"/>
    <w:rPr>
      <w:i/>
      <w:iCs/>
    </w:rPr>
  </w:style>
  <w:style w:type="paragraph" w:styleId="NoSpacing">
    <w:name w:val="No Spacing"/>
    <w:uiPriority w:val="1"/>
    <w:qFormat/>
    <w:rsid w:val="00CE55C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E55C9"/>
    <w:rPr>
      <w:i/>
      <w:iCs/>
      <w:color w:val="404040" w:themeColor="text1" w:themeTint="BF"/>
    </w:rPr>
  </w:style>
  <w:style w:type="table" w:customStyle="1" w:styleId="GridTable7Colorful-Accent11">
    <w:name w:val="Grid Table 7 Colorful - Accent 11"/>
    <w:basedOn w:val="TableNormal"/>
    <w:next w:val="GridTable7Colorful-Accent1"/>
    <w:uiPriority w:val="52"/>
    <w:rsid w:val="006439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8F64-9B9F-41B9-A26D-8770B779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Links>
    <vt:vector size="60" baseType="variant"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_Toc88493515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_Toc88493514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_Toc88493513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_Toc88493512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_Toc88493511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_Toc88493510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_Toc88493509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_Toc88493508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_Toc88493507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_Toc88493506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JAKE OCONNOR</cp:lastModifiedBy>
  <cp:revision>247</cp:revision>
  <dcterms:created xsi:type="dcterms:W3CDTF">2009-11-23T22:41:00Z</dcterms:created>
  <dcterms:modified xsi:type="dcterms:W3CDTF">2021-12-12T19:35:00Z</dcterms:modified>
</cp:coreProperties>
</file>