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B2700" w:rsidRDefault="007B2700" w14:paraId="672A6659" wp14:textId="77777777"/>
    <w:tbl>
      <w:tblPr>
        <w:tblW w:w="8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282"/>
        <w:gridCol w:w="4283"/>
      </w:tblGrid>
      <w:tr xmlns:wp14="http://schemas.microsoft.com/office/word/2010/wordml" w:rsidR="007B2700" w:rsidTr="10CCBC1A" w14:paraId="7CBB83DA" wp14:textId="77777777">
        <w:trPr>
          <w:trHeight w:val="543"/>
        </w:trPr>
        <w:tc>
          <w:tcPr>
            <w:tcW w:w="8565" w:type="dxa"/>
            <w:gridSpan w:val="2"/>
            <w:tcBorders>
              <w:bottom w:val="single" w:color="auto" w:sz="4" w:space="0"/>
            </w:tcBorders>
            <w:shd w:val="clear" w:color="auto" w:fill="948A54"/>
            <w:tcMar/>
          </w:tcPr>
          <w:p w:rsidRPr="007B2700" w:rsidR="007B2700" w:rsidP="10CCBC1A" w:rsidRDefault="00E31A1F" w14:paraId="7A2EC13D" wp14:textId="77777777">
            <w:pPr>
              <w:tabs>
                <w:tab w:val="center" w:pos="4153"/>
                <w:tab w:val="left" w:pos="5600"/>
              </w:tabs>
              <w:spacing w:before="120" w:after="120"/>
              <w:ind w:firstLine="0"/>
              <w:jc w:val="center"/>
              <w:rPr>
                <w:rFonts w:ascii="Arial" w:hAnsi="Arial" w:cs="Arial"/>
                <w:b w:val="1"/>
                <w:bCs w:val="1"/>
                <w:caps w:val="1"/>
                <w:color w:val="FFFFFF"/>
                <w:sz w:val="28"/>
                <w:szCs w:val="28"/>
              </w:rPr>
            </w:pPr>
            <w:r w:rsidRPr="10CCBC1A" w:rsidR="007B2700">
              <w:rPr>
                <w:rFonts w:ascii="Arial" w:hAnsi="Arial" w:cs="Arial"/>
                <w:b w:val="1"/>
                <w:bCs w:val="1"/>
                <w:caps w:val="1"/>
                <w:color w:val="FFFFFF"/>
                <w:sz w:val="28"/>
                <w:szCs w:val="28"/>
              </w:rPr>
              <w:t>Internal</w:t>
            </w:r>
          </w:p>
        </w:tc>
      </w:tr>
      <w:tr xmlns:wp14="http://schemas.microsoft.com/office/word/2010/wordml" w:rsidR="007B2700" w:rsidTr="10CCBC1A" w14:paraId="43783D4E" wp14:textId="77777777">
        <w:trPr>
          <w:trHeight w:val="490"/>
        </w:trPr>
        <w:tc>
          <w:tcPr>
            <w:tcW w:w="4282" w:type="dxa"/>
            <w:shd w:val="clear" w:color="auto" w:fill="DDD9C3"/>
            <w:tcMar/>
          </w:tcPr>
          <w:p w:rsidRPr="00E31A1F" w:rsidR="007B2700" w:rsidP="00E31A1F" w:rsidRDefault="007B2700" w14:paraId="47BE48D3" wp14:textId="7777777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31A1F">
              <w:rPr>
                <w:rFonts w:ascii="Arial" w:hAnsi="Arial" w:cs="Arial"/>
                <w:b/>
              </w:rPr>
              <w:t>Strengths</w:t>
            </w:r>
          </w:p>
        </w:tc>
        <w:tc>
          <w:tcPr>
            <w:tcW w:w="4282" w:type="dxa"/>
            <w:shd w:val="clear" w:color="auto" w:fill="DDD9C3"/>
            <w:tcMar/>
          </w:tcPr>
          <w:p w:rsidRPr="00E31A1F" w:rsidR="007B2700" w:rsidP="00E31A1F" w:rsidRDefault="007B2700" w14:paraId="4149CA96" wp14:textId="7777777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31A1F">
              <w:rPr>
                <w:rFonts w:ascii="Arial" w:hAnsi="Arial" w:cs="Arial"/>
                <w:b/>
              </w:rPr>
              <w:t>Weaknesses</w:t>
            </w:r>
          </w:p>
        </w:tc>
      </w:tr>
      <w:tr xmlns:wp14="http://schemas.microsoft.com/office/word/2010/wordml" w:rsidR="007B2700" w:rsidTr="10CCBC1A" w14:paraId="0A37501D" wp14:textId="77777777">
        <w:trPr>
          <w:trHeight w:val="705"/>
        </w:trPr>
        <w:tc>
          <w:tcPr>
            <w:tcW w:w="4282" w:type="dxa"/>
            <w:tcMar/>
          </w:tcPr>
          <w:p w:rsidR="007B2700" w:rsidP="77AB5669" w:rsidRDefault="007B2700" w14:paraId="1A57BCE5" wp14:textId="2730B906">
            <w:pPr>
              <w:pStyle w:val="ListParagraph"/>
              <w:numPr>
                <w:ilvl w:val="0"/>
                <w:numId w:val="10"/>
              </w:numPr>
              <w:rPr/>
            </w:pPr>
            <w:r w:rsidR="675E2C9C">
              <w:rPr/>
              <w:t>Flexibility in design, genre, and style.</w:t>
            </w:r>
          </w:p>
          <w:p w:rsidR="007B2700" w:rsidP="77AB5669" w:rsidRDefault="007B2700" w14:paraId="27957172" wp14:textId="317BCC78">
            <w:pPr>
              <w:pStyle w:val="ListParagraph"/>
              <w:numPr>
                <w:ilvl w:val="0"/>
                <w:numId w:val="10"/>
              </w:numPr>
              <w:rPr/>
            </w:pPr>
            <w:r w:rsidR="3E95071A">
              <w:rPr/>
              <w:t>Freedom from overbearing shareholders, boards, etc.</w:t>
            </w:r>
          </w:p>
          <w:p w:rsidR="007B2700" w:rsidP="77AB5669" w:rsidRDefault="007B2700" w14:paraId="30B868BC" wp14:textId="70FD022D">
            <w:pPr>
              <w:pStyle w:val="ListParagraph"/>
              <w:numPr>
                <w:ilvl w:val="0"/>
                <w:numId w:val="10"/>
              </w:numPr>
              <w:rPr/>
            </w:pPr>
            <w:r w:rsidR="3E95071A">
              <w:rPr/>
              <w:t>Reliance on free and open-source solutions.</w:t>
            </w:r>
          </w:p>
          <w:p w:rsidR="007B2700" w:rsidP="77AB5669" w:rsidRDefault="007B2700" w14:paraId="5DAB6C7B" wp14:textId="7915ECA2">
            <w:pPr>
              <w:pStyle w:val="ListParagraph"/>
              <w:numPr>
                <w:ilvl w:val="0"/>
                <w:numId w:val="10"/>
              </w:numPr>
              <w:rPr/>
            </w:pPr>
            <w:r w:rsidR="3E95071A">
              <w:rPr/>
              <w:t>Reusable framework for development.</w:t>
            </w:r>
          </w:p>
        </w:tc>
        <w:tc>
          <w:tcPr>
            <w:tcW w:w="4282" w:type="dxa"/>
            <w:tcMar/>
          </w:tcPr>
          <w:p w:rsidR="00FE46DD" w:rsidP="77AB5669" w:rsidRDefault="00FE46DD" w14:paraId="218EDB65" wp14:textId="4955EC9E">
            <w:pPr>
              <w:pStyle w:val="ListParagraph"/>
              <w:numPr>
                <w:ilvl w:val="0"/>
                <w:numId w:val="10"/>
              </w:numPr>
              <w:ind/>
              <w:rPr/>
            </w:pPr>
            <w:r w:rsidR="3E95071A">
              <w:rPr/>
              <w:t>Limited budgets.</w:t>
            </w:r>
          </w:p>
          <w:p w:rsidR="00FE46DD" w:rsidP="77AB5669" w:rsidRDefault="00FE46DD" w14:paraId="7F4C9BDE" wp14:textId="60D4D946">
            <w:pPr>
              <w:pStyle w:val="ListParagraph"/>
              <w:numPr>
                <w:ilvl w:val="0"/>
                <w:numId w:val="10"/>
              </w:numPr>
              <w:ind/>
              <w:rPr/>
            </w:pPr>
            <w:r w:rsidR="3E95071A">
              <w:rPr/>
              <w:t>Limited staff.</w:t>
            </w:r>
          </w:p>
          <w:p w:rsidR="00FE46DD" w:rsidP="77AB5669" w:rsidRDefault="00FE46DD" w14:paraId="06440E1B" wp14:textId="00D2FBD6">
            <w:pPr>
              <w:pStyle w:val="ListParagraph"/>
              <w:numPr>
                <w:ilvl w:val="0"/>
                <w:numId w:val="10"/>
              </w:numPr>
              <w:ind/>
              <w:rPr/>
            </w:pPr>
            <w:r w:rsidR="3E95071A">
              <w:rPr/>
              <w:t>Limited capability of hiring staff.</w:t>
            </w:r>
          </w:p>
          <w:p w:rsidR="00FE46DD" w:rsidP="77AB5669" w:rsidRDefault="00FE46DD" w14:paraId="02EB378F" wp14:textId="433D6BDA">
            <w:pPr>
              <w:pStyle w:val="ListParagraph"/>
              <w:numPr>
                <w:ilvl w:val="0"/>
                <w:numId w:val="10"/>
              </w:numPr>
              <w:ind/>
              <w:rPr/>
            </w:pPr>
            <w:r w:rsidR="3E95071A">
              <w:rPr/>
              <w:t>Reliance on 3</w:t>
            </w:r>
            <w:r w:rsidRPr="10CCBC1A" w:rsidR="3E95071A">
              <w:rPr>
                <w:vertAlign w:val="superscript"/>
              </w:rPr>
              <w:t>rd</w:t>
            </w:r>
            <w:r w:rsidR="3E95071A">
              <w:rPr/>
              <w:t xml:space="preserve"> party contractors.</w:t>
            </w:r>
          </w:p>
        </w:tc>
      </w:tr>
      <w:tr xmlns:wp14="http://schemas.microsoft.com/office/word/2010/wordml" w:rsidR="007B2700" w:rsidTr="10CCBC1A" w14:paraId="50B7273C" wp14:textId="77777777">
        <w:trPr>
          <w:trHeight w:val="543"/>
        </w:trPr>
        <w:tc>
          <w:tcPr>
            <w:tcW w:w="8565" w:type="dxa"/>
            <w:gridSpan w:val="2"/>
            <w:tcBorders>
              <w:bottom w:val="single" w:color="auto" w:sz="4" w:space="0"/>
            </w:tcBorders>
            <w:shd w:val="clear" w:color="auto" w:fill="948A54"/>
            <w:tcMar/>
          </w:tcPr>
          <w:p w:rsidRPr="00E31A1F" w:rsidR="007B2700" w:rsidP="00E31A1F" w:rsidRDefault="00E31A1F" w14:paraId="7C2F0500" wp14:textId="7777777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E31A1F">
              <w:rPr>
                <w:rFonts w:ascii="Arial" w:hAnsi="Arial" w:cs="Arial"/>
                <w:b/>
                <w:caps/>
                <w:color w:val="FFFFFF"/>
                <w:sz w:val="28"/>
                <w:szCs w:val="28"/>
              </w:rPr>
              <w:t>external</w:t>
            </w:r>
          </w:p>
        </w:tc>
      </w:tr>
      <w:tr xmlns:wp14="http://schemas.microsoft.com/office/word/2010/wordml" w:rsidRPr="00E31A1F" w:rsidR="007B2700" w:rsidTr="10CCBC1A" w14:paraId="1B9B7B34" wp14:textId="77777777">
        <w:trPr>
          <w:trHeight w:val="501"/>
        </w:trPr>
        <w:tc>
          <w:tcPr>
            <w:tcW w:w="4282" w:type="dxa"/>
            <w:shd w:val="clear" w:color="auto" w:fill="DDD9C3"/>
            <w:tcMar/>
          </w:tcPr>
          <w:p w:rsidRPr="00E31A1F" w:rsidR="007B2700" w:rsidP="00E31A1F" w:rsidRDefault="007B2700" w14:paraId="353B9EC7" wp14:textId="7777777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31A1F">
              <w:rPr>
                <w:rFonts w:ascii="Arial" w:hAnsi="Arial" w:cs="Arial"/>
                <w:b/>
              </w:rPr>
              <w:t>Opportunities</w:t>
            </w:r>
          </w:p>
        </w:tc>
        <w:tc>
          <w:tcPr>
            <w:tcW w:w="4282" w:type="dxa"/>
            <w:shd w:val="clear" w:color="auto" w:fill="DDD9C3"/>
            <w:tcMar/>
          </w:tcPr>
          <w:p w:rsidRPr="00E31A1F" w:rsidR="007B2700" w:rsidP="00E31A1F" w:rsidRDefault="007B2700" w14:paraId="413022BA" wp14:textId="7777777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31A1F">
              <w:rPr>
                <w:rFonts w:ascii="Arial" w:hAnsi="Arial" w:cs="Arial"/>
                <w:b/>
              </w:rPr>
              <w:t>Threats</w:t>
            </w:r>
          </w:p>
        </w:tc>
      </w:tr>
      <w:tr xmlns:wp14="http://schemas.microsoft.com/office/word/2010/wordml" w:rsidR="007B2700" w:rsidTr="10CCBC1A" w14:paraId="6A05A809" wp14:textId="77777777">
        <w:trPr>
          <w:trHeight w:val="630"/>
        </w:trPr>
        <w:tc>
          <w:tcPr>
            <w:tcW w:w="4282" w:type="dxa"/>
            <w:tcMar/>
          </w:tcPr>
          <w:p w:rsidR="007B2700" w:rsidP="77AB5669" w:rsidRDefault="007B2700" w14:paraId="49127D97" wp14:textId="57391928">
            <w:pPr>
              <w:pStyle w:val="ListParagraph"/>
              <w:numPr>
                <w:ilvl w:val="0"/>
                <w:numId w:val="11"/>
              </w:numPr>
              <w:rPr/>
            </w:pPr>
            <w:r w:rsidR="6B7D560D">
              <w:rPr/>
              <w:t>Targeting underserved markets/genres/audiences.</w:t>
            </w:r>
          </w:p>
          <w:p w:rsidR="007B2700" w:rsidP="77AB5669" w:rsidRDefault="007B2700" w14:paraId="083D7A5F" wp14:textId="733C6EA1">
            <w:pPr>
              <w:pStyle w:val="ListParagraph"/>
              <w:numPr>
                <w:ilvl w:val="0"/>
                <w:numId w:val="11"/>
              </w:numPr>
              <w:rPr/>
            </w:pPr>
            <w:r w:rsidR="6B7D560D">
              <w:rPr/>
              <w:t>Open development means kill/keep analysis can be done.</w:t>
            </w:r>
          </w:p>
          <w:p w:rsidR="007B2700" w:rsidP="77AB5669" w:rsidRDefault="007B2700" w14:paraId="3DEEC669" wp14:textId="0A7B4A71">
            <w:pPr>
              <w:pStyle w:val="ListParagraph"/>
              <w:numPr>
                <w:ilvl w:val="0"/>
                <w:numId w:val="11"/>
              </w:numPr>
              <w:rPr/>
            </w:pPr>
            <w:r w:rsidR="6B7D560D">
              <w:rPr/>
              <w:t>Customer feedback can help ensure products meet customer expectations, instead of ‘develop and hope’ strategy.</w:t>
            </w:r>
          </w:p>
        </w:tc>
        <w:tc>
          <w:tcPr>
            <w:tcW w:w="4282" w:type="dxa"/>
            <w:tcMar/>
          </w:tcPr>
          <w:p w:rsidR="0065357F" w:rsidP="77AB5669" w:rsidRDefault="0065357F" w14:paraId="3801087C" wp14:textId="4DD69E22">
            <w:pPr>
              <w:pStyle w:val="ListParagraph"/>
              <w:numPr>
                <w:ilvl w:val="0"/>
                <w:numId w:val="11"/>
              </w:numPr>
              <w:ind/>
              <w:rPr/>
            </w:pPr>
            <w:r w:rsidR="3E263E70">
              <w:rPr/>
              <w:t>Near-infinite competition.</w:t>
            </w:r>
          </w:p>
          <w:p w:rsidR="0065357F" w:rsidP="77AB5669" w:rsidRDefault="0065357F" w14:paraId="41D874E3" wp14:textId="514AFD71">
            <w:pPr>
              <w:pStyle w:val="ListParagraph"/>
              <w:numPr>
                <w:ilvl w:val="0"/>
                <w:numId w:val="11"/>
              </w:numPr>
              <w:ind/>
              <w:rPr/>
            </w:pPr>
            <w:r w:rsidR="26F60C9A">
              <w:rPr/>
              <w:t>Market leaders hard to unseat.</w:t>
            </w:r>
          </w:p>
          <w:p w:rsidR="0065357F" w:rsidP="77AB5669" w:rsidRDefault="0065357F" w14:paraId="3656B9AB" wp14:textId="05A7EEB5">
            <w:pPr>
              <w:pStyle w:val="ListParagraph"/>
              <w:numPr>
                <w:ilvl w:val="0"/>
                <w:numId w:val="11"/>
              </w:numPr>
              <w:ind/>
              <w:rPr/>
            </w:pPr>
            <w:r w:rsidR="26F60C9A">
              <w:rPr/>
              <w:t>Some games just don’t catch on.</w:t>
            </w:r>
          </w:p>
        </w:tc>
      </w:tr>
      <w:tr w:rsidR="10CCBC1A" w:rsidTr="10CCBC1A" w14:paraId="19252BA2">
        <w:trPr>
          <w:trHeight w:val="300"/>
        </w:trPr>
        <w:tc>
          <w:tcPr>
            <w:tcW w:w="8565" w:type="dxa"/>
            <w:gridSpan w:val="2"/>
            <w:shd w:val="clear" w:color="auto" w:fill="538135" w:themeFill="accent6" w:themeFillShade="BF"/>
            <w:tcMar/>
          </w:tcPr>
          <w:p w:rsidR="5C1665DC" w:rsidP="10CCBC1A" w:rsidRDefault="5C1665DC" w14:paraId="1E0FE41F" w14:textId="121A4FB2">
            <w:pPr>
              <w:pStyle w:val="Normal"/>
              <w:bidi w:val="0"/>
              <w:spacing w:before="120" w:beforeAutospacing="off" w:after="120" w:afterAutospacing="off" w:line="259" w:lineRule="auto"/>
              <w:ind w:left="0" w:right="0"/>
              <w:jc w:val="center"/>
            </w:pPr>
            <w:r w:rsidRPr="10CCBC1A" w:rsidR="5C1665DC">
              <w:rPr>
                <w:rFonts w:ascii="Arial" w:hAnsi="Arial" w:cs="Arial"/>
                <w:b w:val="1"/>
                <w:bCs w:val="1"/>
                <w:caps w:val="1"/>
                <w:color w:val="FFFFFF" w:themeColor="background1" w:themeTint="FF" w:themeShade="FF"/>
                <w:sz w:val="28"/>
                <w:szCs w:val="28"/>
              </w:rPr>
              <w:t>SWOT Analysis Summary</w:t>
            </w:r>
          </w:p>
        </w:tc>
      </w:tr>
      <w:tr w:rsidR="10CCBC1A" w:rsidTr="10CCBC1A" w14:paraId="5BB4C11A">
        <w:trPr>
          <w:trHeight w:val="2205"/>
        </w:trPr>
        <w:tc>
          <w:tcPr>
            <w:tcW w:w="8565" w:type="dxa"/>
            <w:gridSpan w:val="2"/>
            <w:tcMar/>
          </w:tcPr>
          <w:p w:rsidR="0974ADD8" w:rsidP="10CCBC1A" w:rsidRDefault="0974ADD8" w14:paraId="6C959082" w14:textId="022DA02C">
            <w:pPr>
              <w:pStyle w:val="Normal"/>
              <w:ind w:firstLine="720"/>
            </w:pPr>
            <w:r w:rsidR="0974ADD8">
              <w:rPr/>
              <w:t xml:space="preserve">This SWOT analysis considers factors that currently exist within the game development industry as well as potential/likely factors </w:t>
            </w:r>
            <w:r w:rsidR="3997648A">
              <w:rPr/>
              <w:t>of the theoretical indie game development studio Sad Pumpkin Ga</w:t>
            </w:r>
            <w:r w:rsidR="18E9D723">
              <w:rPr/>
              <w:t xml:space="preserve">mes. Internal studio factors are assumed or estimated based on hopes, expectations, and </w:t>
            </w:r>
            <w:proofErr w:type="gramStart"/>
            <w:r w:rsidR="18E9D723">
              <w:rPr/>
              <w:t>past experience</w:t>
            </w:r>
            <w:proofErr w:type="gramEnd"/>
            <w:r w:rsidR="18E9D723">
              <w:rPr/>
              <w:t>. External factors are gauged experience in the industry and some commo</w:t>
            </w:r>
            <w:r w:rsidR="490C8DD5">
              <w:rPr/>
              <w:t>n sense. In an industry like game development there is less of a reliance on market capture than in industries with physical or service-base</w:t>
            </w:r>
            <w:r w:rsidR="07B17307">
              <w:rPr/>
              <w:t>d products, as the purchase of one game does not necessarily preclude the purchase of a different game (as it would with accounting software, car purchases, etc.)</w:t>
            </w:r>
            <w:r w:rsidR="3147B76F">
              <w:rPr/>
              <w:t xml:space="preserve">. SWOT analysis is generally useful for </w:t>
            </w:r>
            <w:r w:rsidR="2B65532D">
              <w:rPr/>
              <w:t xml:space="preserve">industries </w:t>
            </w:r>
            <w:r w:rsidR="3147B76F">
              <w:rPr/>
              <w:t>with fixed audiences an</w:t>
            </w:r>
            <w:r w:rsidR="63A3A1FA">
              <w:rPr/>
              <w:t>d sales numbers, but for game development the use is fairly limited.</w:t>
            </w:r>
          </w:p>
        </w:tc>
      </w:tr>
    </w:tbl>
    <w:p xmlns:wp14="http://schemas.microsoft.com/office/word/2010/wordml" w:rsidR="007B2700" w:rsidP="10CCBC1A" w:rsidRDefault="007B2700" w14:paraId="1FC39945" wp14:noSpellErr="1" wp14:textId="33C236C5">
      <w:pPr>
        <w:pStyle w:val="Normal"/>
      </w:pPr>
    </w:p>
    <w:sectPr w:rsidR="007B2700">
      <w:headerReference w:type="default" r:id="rId7"/>
      <w:footerReference w:type="default" r:id="rId8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F0A3B" w:rsidRDefault="004F0A3B" w14:paraId="0562CB0E" wp14:textId="77777777">
      <w:r>
        <w:separator/>
      </w:r>
    </w:p>
  </w:endnote>
  <w:endnote w:type="continuationSeparator" w:id="0">
    <w:p xmlns:wp14="http://schemas.microsoft.com/office/word/2010/wordml" w:rsidR="004F0A3B" w:rsidRDefault="004F0A3B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31A1F" w:rsidR="00E31A1F" w:rsidP="00E31A1F" w:rsidRDefault="00E31A1F" w14:paraId="6185FC4A" wp14:textId="77542B78">
    <w:pPr>
      <w:pStyle w:val="Footer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F0A3B" w:rsidRDefault="004F0A3B" w14:paraId="62EBF3C5" wp14:textId="77777777">
      <w:r>
        <w:separator/>
      </w:r>
    </w:p>
  </w:footnote>
  <w:footnote w:type="continuationSeparator" w:id="0">
    <w:p xmlns:wp14="http://schemas.microsoft.com/office/word/2010/wordml" w:rsidR="004F0A3B" w:rsidRDefault="004F0A3B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B2700" w:rsidR="007B2700" w:rsidP="797ABDD0" w:rsidRDefault="007B2700" w14:paraId="0C4089BF" wp14:textId="72E293B4">
    <w:pPr>
      <w:pStyle w:val="Header"/>
      <w:jc w:val="center"/>
      <w:rPr>
        <w:rFonts w:ascii="Arial" w:hAnsi="Arial" w:cs="Arial"/>
        <w:b w:val="1"/>
        <w:bCs w:val="1"/>
        <w:color w:val="000000"/>
        <w:sz w:val="48"/>
        <w:szCs w:val="48"/>
      </w:rPr>
    </w:pPr>
    <w:r w:rsidRPr="797ABDD0" w:rsidR="797ABDD0">
      <w:rPr>
        <w:rFonts w:ascii="Arial" w:hAnsi="Arial" w:cs="Arial"/>
        <w:b w:val="1"/>
        <w:bCs w:val="1"/>
        <w:color w:val="000000" w:themeColor="text1" w:themeTint="FF" w:themeShade="FF"/>
        <w:sz w:val="48"/>
        <w:szCs w:val="48"/>
      </w:rPr>
      <w:t>SWOT Analysis</w:t>
    </w:r>
    <w:r w:rsidRPr="797ABDD0" w:rsidR="797ABDD0">
      <w:rPr>
        <w:rFonts w:ascii="Arial" w:hAnsi="Arial" w:cs="Arial"/>
        <w:b w:val="1"/>
        <w:bCs w:val="1"/>
        <w:color w:val="000000" w:themeColor="text1" w:themeTint="FF" w:themeShade="FF"/>
        <w:sz w:val="48"/>
        <w:szCs w:val="48"/>
      </w:rPr>
      <w:t xml:space="preserve"> – Sad Pumpin Games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821741186" textId="933265053" start="282" length="15" invalidationStart="282" invalidationLength="15" id="pLr88FgW"/>
    <int:ParagraphRange paragraphId="1821741186" textId="2114672067" start="282" length="15" invalidationStart="282" invalidationLength="15" id="O2cPTBSk"/>
  </int:Manifest>
  <int:Observations>
    <int:Content id="pLr88FgW">
      <int:Rejection type="LegacyProofing"/>
    </int:Content>
    <int:Content id="O2cPTBS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A5BF9"/>
    <w:multiLevelType w:val="hybridMultilevel"/>
    <w:tmpl w:val="40BE38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428BE"/>
    <w:multiLevelType w:val="hybridMultilevel"/>
    <w:tmpl w:val="9D2A02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C196A"/>
    <w:multiLevelType w:val="hybridMultilevel"/>
    <w:tmpl w:val="7ED070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40E81"/>
    <w:multiLevelType w:val="multilevel"/>
    <w:tmpl w:val="D05AB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E3BF6"/>
    <w:multiLevelType w:val="hybridMultilevel"/>
    <w:tmpl w:val="908272C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F1F6F45"/>
    <w:multiLevelType w:val="multilevel"/>
    <w:tmpl w:val="40BE3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F4299E"/>
    <w:multiLevelType w:val="hybridMultilevel"/>
    <w:tmpl w:val="D05AB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75208D"/>
    <w:multiLevelType w:val="multilevel"/>
    <w:tmpl w:val="D05AB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6B0AF0"/>
    <w:multiLevelType w:val="hybridMultilevel"/>
    <w:tmpl w:val="7B6C5F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1F"/>
    <w:rsid w:val="000144C0"/>
    <w:rsid w:val="00017BE4"/>
    <w:rsid w:val="000904D3"/>
    <w:rsid w:val="00096929"/>
    <w:rsid w:val="000D4358"/>
    <w:rsid w:val="00192904"/>
    <w:rsid w:val="002D3A1D"/>
    <w:rsid w:val="00350FEC"/>
    <w:rsid w:val="003640B4"/>
    <w:rsid w:val="004F0A3B"/>
    <w:rsid w:val="0065357F"/>
    <w:rsid w:val="00655AAB"/>
    <w:rsid w:val="006A7A9E"/>
    <w:rsid w:val="006C4DB8"/>
    <w:rsid w:val="006F6391"/>
    <w:rsid w:val="007100EB"/>
    <w:rsid w:val="007B2700"/>
    <w:rsid w:val="007D5856"/>
    <w:rsid w:val="008A1019"/>
    <w:rsid w:val="008B71BE"/>
    <w:rsid w:val="008D3940"/>
    <w:rsid w:val="00907461"/>
    <w:rsid w:val="00976ACA"/>
    <w:rsid w:val="00990D8D"/>
    <w:rsid w:val="009E34A6"/>
    <w:rsid w:val="009F64C4"/>
    <w:rsid w:val="00AB7094"/>
    <w:rsid w:val="00AE148A"/>
    <w:rsid w:val="00BF0F2C"/>
    <w:rsid w:val="00BF40CC"/>
    <w:rsid w:val="00BF6223"/>
    <w:rsid w:val="00D27A45"/>
    <w:rsid w:val="00DD6B8C"/>
    <w:rsid w:val="00DE189E"/>
    <w:rsid w:val="00E1316C"/>
    <w:rsid w:val="00E31A1F"/>
    <w:rsid w:val="00EC3CDF"/>
    <w:rsid w:val="00FD333A"/>
    <w:rsid w:val="00FE46DD"/>
    <w:rsid w:val="07B17307"/>
    <w:rsid w:val="0974ADD8"/>
    <w:rsid w:val="0A1E4523"/>
    <w:rsid w:val="0E9CB370"/>
    <w:rsid w:val="10CCBC1A"/>
    <w:rsid w:val="18E9D723"/>
    <w:rsid w:val="1BD826D4"/>
    <w:rsid w:val="21426A8E"/>
    <w:rsid w:val="2690EB9D"/>
    <w:rsid w:val="26ACAE48"/>
    <w:rsid w:val="26F60C9A"/>
    <w:rsid w:val="2B65532D"/>
    <w:rsid w:val="2BDD0FC7"/>
    <w:rsid w:val="2D78E028"/>
    <w:rsid w:val="3147B76F"/>
    <w:rsid w:val="33E821AC"/>
    <w:rsid w:val="366FC77A"/>
    <w:rsid w:val="3997648A"/>
    <w:rsid w:val="39A7683C"/>
    <w:rsid w:val="3B43389D"/>
    <w:rsid w:val="3E263E70"/>
    <w:rsid w:val="3E95071A"/>
    <w:rsid w:val="41444EEE"/>
    <w:rsid w:val="42E01F4F"/>
    <w:rsid w:val="490C8DD5"/>
    <w:rsid w:val="501B92B3"/>
    <w:rsid w:val="51B76314"/>
    <w:rsid w:val="53533375"/>
    <w:rsid w:val="5671ABDA"/>
    <w:rsid w:val="586086D3"/>
    <w:rsid w:val="596D7223"/>
    <w:rsid w:val="5C1665DC"/>
    <w:rsid w:val="61439900"/>
    <w:rsid w:val="63A3A1FA"/>
    <w:rsid w:val="64C83040"/>
    <w:rsid w:val="675E2C9C"/>
    <w:rsid w:val="69C75DEC"/>
    <w:rsid w:val="6B7D560D"/>
    <w:rsid w:val="6E9ACF0F"/>
    <w:rsid w:val="707AF89D"/>
    <w:rsid w:val="7707C883"/>
    <w:rsid w:val="77AB5669"/>
    <w:rsid w:val="797ABDD0"/>
    <w:rsid w:val="7E42C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395028"/>
  <w15:chartTrackingRefBased/>
  <w15:docId w15:val="{77A30554-8DAE-4D32-B746-49E275654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AU" w:eastAsia="en-A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spacing w:before="100" w:beforeAutospacing="1" w:after="100" w:afterAutospacing="1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9/09/relationships/intelligence" Target="/word/intelligence.xml" Id="R9d2b6dadef3644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NRMA Insurance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Key Word: SWOT template</dc:title>
  <dc:subject/>
  <dc:creator>Ian Pratt</dc:creator>
  <keywords/>
  <lastModifiedBy>JAKE OCONNOR</lastModifiedBy>
  <revision>5</revision>
  <dcterms:created xsi:type="dcterms:W3CDTF">2021-09-25T20:34:00.0000000Z</dcterms:created>
  <dcterms:modified xsi:type="dcterms:W3CDTF">2021-09-25T20:59:27.7925304Z</dcterms:modified>
</coreProperties>
</file>