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Judges' Lunch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Rm:E-ii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11:10</w:t>
            </w:r>
          </w:p>
        </w:tc>
        <w:tc>
          <w:tcPr>
            <w:tcW w:type="dxa" w:w="1728"/>
          </w:tcPr>
          <w:p>
            <w:r>
              <w:t>30 min. Coach Meeting Comp. Gym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