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960"/>
        <w:gridCol w:w="960"/>
        <w:gridCol w:w="1140"/>
        <w:tblGridChange w:id="0">
          <w:tblGrid>
            <w:gridCol w:w="960"/>
            <w:gridCol w:w="960"/>
            <w:gridCol w:w="960"/>
            <w:gridCol w:w="114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8"/>
                <w:szCs w:val="28"/>
                <w:rtl w:val="0"/>
              </w:rPr>
              <w:t xml:space="preserve">angle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8"/>
                <w:szCs w:val="28"/>
                <w:rtl w:val="0"/>
              </w:rPr>
              <w:t xml:space="preserve">sine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8"/>
                <w:szCs w:val="28"/>
                <w:rtl w:val="0"/>
              </w:rPr>
              <w:t xml:space="preserve">cosine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8"/>
                <w:szCs w:val="28"/>
                <w:rtl w:val="0"/>
              </w:rPr>
              <w:t xml:space="preserve">tangent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0.087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0.996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0.087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0.174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0.985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0.176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0.259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0.966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0.268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0.342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0.94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0.364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0.423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0.906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0.466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0.866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0.577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35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0.574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0.819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0.7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40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0.643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0.766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0.839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45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0.707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0.707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0.766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0.643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1.192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55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0.819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0.574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1.428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60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0.866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1.732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65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0.906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0.423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2.145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70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0.94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0.342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2.747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75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0.966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0.259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3.732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80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0.985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0.174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5.671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85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0.996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0.087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11.43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90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∞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700.7874015748032" w:top="720.0000000000001" w:left="720.0000000000001" w:right="720.0000000000001" w:header="453.5433070866142" w:footer="453.543307086614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Lexend Light"/>
  <w:font w:name="Lexend SemiBold"/>
  <w:font w:name="Lexend"/>
  <w:font w:name="Arial"/>
  <w:font w:name="Lexend Mediu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rPr>
        <w:rFonts w:ascii="Lexend" w:cs="Lexend" w:eastAsia="Lexend" w:hAnsi="Lexend"/>
        <w:color w:val="575756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4"/>
      <w:tblW w:w="104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686.923925027564"/>
      <w:gridCol w:w="423.0760749724368"/>
      <w:gridCol w:w="360"/>
      <w:tblGridChange w:id="0">
        <w:tblGrid>
          <w:gridCol w:w="9686.923925027564"/>
          <w:gridCol w:w="423.0760749724368"/>
          <w:gridCol w:w="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5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b w:val="1"/>
              <w:color w:val="575756"/>
              <w:sz w:val="18"/>
              <w:szCs w:val="18"/>
              <w:rtl w:val="0"/>
            </w:rPr>
            <w:t xml:space="preserve">© Oak National Academy 2024</w:t>
          </w: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 Produced in partnership with &lt;&lt;partner&gt;&gt;. </w:t>
          </w:r>
        </w:p>
        <w:p w:rsidR="00000000" w:rsidDel="00000000" w:rsidP="00000000" w:rsidRDefault="00000000" w:rsidRPr="00000000" w14:paraId="00000066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Licensed on the </w:t>
          </w:r>
          <w:hyperlink r:id="rId1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Open Government Licence v3.0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, except where otherwise stated. See </w:t>
          </w:r>
          <w:hyperlink r:id="rId2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Oak terms &amp; conditions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7">
          <w:pPr>
            <w:rPr>
              <w:rFonts w:ascii="Lexend" w:cs="Lexend" w:eastAsia="Lexend" w:hAnsi="Lexend"/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8">
          <w:pPr>
            <w:jc w:val="right"/>
            <w:rPr>
              <w:rFonts w:ascii="Lexend Medium" w:cs="Lexend Medium" w:eastAsia="Lexend Medium" w:hAnsi="Lexend Medium"/>
            </w:rPr>
          </w:pPr>
          <w:r w:rsidDel="00000000" w:rsidR="00000000" w:rsidRPr="00000000">
            <w:rPr>
              <w:rFonts w:ascii="Lexend Medium" w:cs="Lexend Medium" w:eastAsia="Lexend Medium" w:hAnsi="Lexend Medium"/>
            </w:rPr>
            <w:drawing>
              <wp:inline distB="114300" distT="114300" distL="114300" distR="114300">
                <wp:extent cx="172815" cy="241941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815" cy="241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jc w:val="left"/>
      <w:rPr>
        <w:rFonts w:ascii="Lexend SemiBold" w:cs="Lexend SemiBold" w:eastAsia="Lexend SemiBold" w:hAnsi="Lexend SemiBold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rPr>
        <w:rFonts w:ascii="Lexend" w:cs="Lexend" w:eastAsia="Lexend" w:hAnsi="Lexend"/>
        <w:color w:val="575756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5"/>
      <w:tblW w:w="104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686.923925027564"/>
      <w:gridCol w:w="423.0760749724368"/>
      <w:gridCol w:w="360"/>
      <w:tblGridChange w:id="0">
        <w:tblGrid>
          <w:gridCol w:w="9686.923925027564"/>
          <w:gridCol w:w="423.0760749724368"/>
          <w:gridCol w:w="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B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b w:val="1"/>
              <w:color w:val="575756"/>
              <w:sz w:val="18"/>
              <w:szCs w:val="18"/>
              <w:rtl w:val="0"/>
            </w:rPr>
            <w:t xml:space="preserve">© Oak National Academy 2024</w:t>
          </w: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 Produced in partnership with Mathematics in Education and Industry. </w:t>
          </w:r>
        </w:p>
        <w:p w:rsidR="00000000" w:rsidDel="00000000" w:rsidP="00000000" w:rsidRDefault="00000000" w:rsidRPr="00000000" w14:paraId="0000006C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Licensed on the </w:t>
          </w:r>
          <w:hyperlink r:id="rId1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Open Government Licence v3.0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, except where otherwise stated. See </w:t>
          </w:r>
          <w:hyperlink r:id="rId2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Oak terms &amp; conditions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D">
          <w:pPr>
            <w:rPr>
              <w:rFonts w:ascii="Lexend" w:cs="Lexend" w:eastAsia="Lexend" w:hAnsi="Lexend"/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E">
          <w:pPr>
            <w:jc w:val="right"/>
            <w:rPr>
              <w:rFonts w:ascii="Lexend Medium" w:cs="Lexend Medium" w:eastAsia="Lexend Medium" w:hAnsi="Lexend Medium"/>
            </w:rPr>
          </w:pPr>
          <w:r w:rsidDel="00000000" w:rsidR="00000000" w:rsidRPr="00000000">
            <w:rPr>
              <w:rFonts w:ascii="Lexend Medium" w:cs="Lexend Medium" w:eastAsia="Lexend Medium" w:hAnsi="Lexend Medium"/>
            </w:rPr>
            <w:drawing>
              <wp:inline distB="114300" distT="114300" distL="114300" distR="114300">
                <wp:extent cx="172815" cy="241941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815" cy="241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rPr>
        <w:sz w:val="4"/>
        <w:szCs w:val="4"/>
      </w:rPr>
    </w:pPr>
    <w:r w:rsidDel="00000000" w:rsidR="00000000" w:rsidRPr="00000000">
      <w:rPr>
        <w:rtl w:val="0"/>
      </w:rPr>
    </w:r>
  </w:p>
  <w:tbl>
    <w:tblPr>
      <w:tblStyle w:val="Table2"/>
      <w:tblpPr w:leftFromText="180" w:rightFromText="180" w:topFromText="180" w:bottomFromText="180" w:vertAnchor="text" w:horzAnchor="text" w:tblpX="0" w:tblpY="0"/>
      <w:tblW w:w="10380.0" w:type="dxa"/>
      <w:jc w:val="left"/>
      <w:tblLayout w:type="fixed"/>
      <w:tblLook w:val="0600"/>
    </w:tblPr>
    <w:tblGrid>
      <w:gridCol w:w="825"/>
      <w:gridCol w:w="5955"/>
      <w:gridCol w:w="1155"/>
      <w:gridCol w:w="2445"/>
      <w:tblGridChange w:id="0">
        <w:tblGrid>
          <w:gridCol w:w="825"/>
          <w:gridCol w:w="5955"/>
          <w:gridCol w:w="1155"/>
          <w:gridCol w:w="2445"/>
        </w:tblGrid>
      </w:tblGridChange>
    </w:tblGrid>
    <w:tr>
      <w:trPr>
        <w:cantSplit w:val="0"/>
        <w:trHeight w:val="1050" w:hRule="atLeast"/>
        <w:tblHeader w:val="0"/>
      </w:trPr>
      <w:tc>
        <w:tcPr>
          <w:gridSpan w:val="2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5">
          <w:pPr>
            <w:pStyle w:val="Heading1"/>
            <w:spacing w:after="0" w:before="0" w:lineRule="auto"/>
            <w:rPr>
              <w:rFonts w:ascii="Lexend" w:cs="Lexend" w:eastAsia="Lexend" w:hAnsi="Lexend"/>
              <w:b w:val="1"/>
              <w:sz w:val="36"/>
              <w:szCs w:val="36"/>
            </w:rPr>
          </w:pPr>
          <w:bookmarkStart w:colFirst="0" w:colLast="0" w:name="_ky2wwodnd16p" w:id="0"/>
          <w:bookmarkEnd w:id="0"/>
          <w:r w:rsidDel="00000000" w:rsidR="00000000" w:rsidRPr="00000000">
            <w:rPr>
              <w:rFonts w:ascii="Lexend" w:cs="Lexend" w:eastAsia="Lexend" w:hAnsi="Lexend"/>
              <w:b w:val="1"/>
              <w:sz w:val="36"/>
              <w:szCs w:val="36"/>
              <w:rtl w:val="0"/>
            </w:rPr>
            <w:t xml:space="preserve">Sine and cosine ratios</w:t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7">
          <w:pPr>
            <w:widowControl w:val="0"/>
            <w:jc w:val="righ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04000" cy="50400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000" cy="50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8">
          <w:pPr>
            <w:pStyle w:val="Heading1"/>
            <w:jc w:val="right"/>
            <w:rPr>
              <w:rFonts w:ascii="Lexend" w:cs="Lexend" w:eastAsia="Lexend" w:hAnsi="Lexend"/>
              <w:b w:val="1"/>
              <w:sz w:val="24"/>
              <w:szCs w:val="24"/>
            </w:rPr>
          </w:pPr>
          <w:bookmarkStart w:colFirst="0" w:colLast="0" w:name="_peun555hcvpw" w:id="2"/>
          <w:bookmarkEnd w:id="2"/>
          <w:r w:rsidDel="00000000" w:rsidR="00000000" w:rsidRPr="00000000">
            <w:rPr>
              <w:rFonts w:ascii="Lexend" w:cs="Lexend" w:eastAsia="Lexend" w:hAnsi="Lexend"/>
              <w:b w:val="1"/>
              <w:sz w:val="24"/>
              <w:szCs w:val="24"/>
              <w:rtl w:val="0"/>
            </w:rPr>
            <w:t xml:space="preserve">Additional material</w:t>
          </w:r>
        </w:p>
      </w:tc>
    </w:tr>
  </w:tbl>
  <w:p w:rsidR="00000000" w:rsidDel="00000000" w:rsidP="00000000" w:rsidRDefault="00000000" w:rsidRPr="00000000" w14:paraId="00000059">
    <w:pPr>
      <w:rPr>
        <w:sz w:val="4"/>
        <w:szCs w:val="4"/>
      </w:rPr>
    </w:pPr>
    <w:r w:rsidDel="00000000" w:rsidR="00000000" w:rsidRPr="00000000">
      <w:rPr>
        <w:sz w:val="4"/>
        <w:szCs w:val="4"/>
      </w:rPr>
      <w:drawing>
        <wp:inline distB="114300" distT="114300" distL="114300" distR="114300">
          <wp:extent cx="6645600" cy="635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45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jc w:val="right"/>
      <w:rPr>
        <w:color w:val="ffffff"/>
        <w:sz w:val="20"/>
        <w:szCs w:val="20"/>
      </w:rPr>
    </w:pPr>
    <w:r w:rsidDel="00000000" w:rsidR="00000000" w:rsidRPr="00000000">
      <w:rPr>
        <w:color w:val="ffffff"/>
        <w:sz w:val="20"/>
        <w:szCs w:val="20"/>
        <w:rtl w:val="0"/>
      </w:rPr>
      <w:t xml:space="preserve">v2.3</w:t>
    </w:r>
  </w:p>
  <w:p w:rsidR="00000000" w:rsidDel="00000000" w:rsidP="00000000" w:rsidRDefault="00000000" w:rsidRPr="00000000" w14:paraId="0000005E">
    <w:pPr>
      <w:jc w:val="right"/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jc w:val="right"/>
      <w:rPr>
        <w:sz w:val="4"/>
        <w:szCs w:val="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rPr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4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604.889746416758"/>
      <w:gridCol w:w="1835.1102535832415"/>
      <w:tblGridChange w:id="0">
        <w:tblGrid>
          <w:gridCol w:w="8604.889746416758"/>
          <w:gridCol w:w="1835.1102535832415"/>
        </w:tblGrid>
      </w:tblGridChange>
    </w:tblGrid>
    <w:tr>
      <w:trPr>
        <w:cantSplit w:val="0"/>
        <w:trHeight w:val="24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61">
          <w:pPr>
            <w:rPr>
              <w:rFonts w:ascii="Lexend" w:cs="Lexend" w:eastAsia="Lexend" w:hAnsi="Lexend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sz w:val="18"/>
              <w:szCs w:val="18"/>
              <w:rtl w:val="0"/>
            </w:rPr>
            <w:t xml:space="preserve">Lesson title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62">
          <w:pPr>
            <w:widowControl w:val="0"/>
            <w:jc w:val="right"/>
            <w:rPr>
              <w:rFonts w:ascii="Lexend" w:cs="Lexend" w:eastAsia="Lexend" w:hAnsi="Lexend"/>
              <w:b w:val="1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b w:val="1"/>
              <w:sz w:val="18"/>
              <w:szCs w:val="18"/>
              <w:rtl w:val="0"/>
            </w:rPr>
            <w:t xml:space="preserve">Additional material</w:t>
          </w:r>
        </w:p>
      </w:tc>
    </w:tr>
  </w:tbl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exend Light" w:cs="Lexend Light" w:eastAsia="Lexend Light" w:hAnsi="Lexend Light"/>
        <w:sz w:val="24"/>
        <w:szCs w:val="24"/>
        <w:lang w:val="en_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240" w:lineRule="auto"/>
    </w:pPr>
    <w:rPr>
      <w:rFonts w:ascii="Lexend SemiBold" w:cs="Lexend SemiBold" w:eastAsia="Lexend SemiBold" w:hAnsi="Lexend SemiBold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Rule="auto"/>
    </w:pPr>
    <w:rPr>
      <w:rFonts w:ascii="Lexend SemiBold" w:cs="Lexend SemiBold" w:eastAsia="Lexend SemiBold" w:hAnsi="Lexend SemiBol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lineRule="auto"/>
    </w:pPr>
    <w:rPr>
      <w:rFonts w:ascii="Lexend SemiBold" w:cs="Lexend SemiBold" w:eastAsia="Lexend SemiBold" w:hAnsi="Lexend SemiBold"/>
    </w:rPr>
  </w:style>
  <w:style w:type="paragraph" w:styleId="Heading4">
    <w:name w:val="heading 4"/>
    <w:basedOn w:val="Normal"/>
    <w:next w:val="Normal"/>
    <w:pPr>
      <w:keepNext w:val="1"/>
      <w:keepLines w:val="1"/>
      <w:spacing w:before="320" w:lineRule="auto"/>
    </w:pPr>
    <w:rPr>
      <w:rFonts w:ascii="Lexend SemiBold" w:cs="Lexend SemiBold" w:eastAsia="Lexend SemiBold" w:hAnsi="Lexend SemiBold"/>
    </w:rPr>
  </w:style>
  <w:style w:type="paragraph" w:styleId="Heading5">
    <w:name w:val="heading 5"/>
    <w:basedOn w:val="Normal"/>
    <w:next w:val="Normal"/>
    <w:pPr>
      <w:keepNext w:val="1"/>
      <w:keepLines w:val="1"/>
      <w:spacing w:after="320" w:before="320" w:lineRule="auto"/>
    </w:pPr>
    <w:rPr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rFonts w:ascii="Lexend SemiBold" w:cs="Lexend SemiBold" w:eastAsia="Lexend SemiBold" w:hAnsi="Lexend SemiBold"/>
      <w:sz w:val="90"/>
      <w:szCs w:val="9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sz w:val="48"/>
      <w:szCs w:val="48"/>
    </w:rPr>
  </w:style>
  <w:style w:type="table" w:styleId="Table1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nationalarchives.gov.uk/doc/open-government-licence/version/3/" TargetMode="External"/><Relationship Id="rId2" Type="http://schemas.openxmlformats.org/officeDocument/2006/relationships/hyperlink" Target="https://www.thenational.academy/legal/terms-and-conditions" TargetMode="External"/><Relationship Id="rId3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www.nationalarchives.gov.uk/doc/open-government-licence/version/3/" TargetMode="External"/><Relationship Id="rId2" Type="http://schemas.openxmlformats.org/officeDocument/2006/relationships/hyperlink" Target="https://www.thenational.academy/legal/terms-and-conditions" TargetMode="External"/><Relationship Id="rId3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