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8C1515"/>
          <w:sz w:val="32"/>
          <w:szCs w:val="32"/>
        </w:rPr>
        <w:t xml:space="preserve">HIUA-Bench · Lectern Notes</w:t>
      </w:r>
    </w:p>
    <w:p>
      <w:pPr>
        <w:spacing w:after="240"/>
        <w:jc w:val="center"/>
      </w:pPr>
      <w:r>
        <w:rPr>
          <w:color w:val="606060"/>
          <w:sz w:val="18"/>
          <w:szCs w:val="18"/>
        </w:rPr>
        <w:t xml:space="preserve">Klosowski &amp; Campeau · CS321M Showcase · CoDa E160 · June 3 2026</w:t>
      </w:r>
    </w:p>
    <w:p>
      <w:pPr>
        <w:pBdr>
          <w:bottom w:val="single" w:color="8C1515" w:sz="6" w:space="1"/>
        </w:pBdr>
        <w:spacing w:after="120" w:before="120"/>
      </w:pPr>
    </w:p>
    <w:p>
      <w:pPr>
        <w:pStyle w:val="Heading2"/>
      </w:pPr>
      <w:r>
        <w:t xml:space="preserve">Timing target —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360"/>
        <w:gridCol w:w="1800"/>
        <w:gridCol w:w="2400"/>
      </w:tblGrid>
      <w:tr>
        <w:tc>
          <w:tcPr>
            <w:tcW w:type="dxa" w:w="800"/>
            <w:tcBorders>
              <w:top w:val="single" w:color="CCCCCC" w:sz="4"/>
              <w:left w:val="single" w:color="CCCCCC" w:sz="4"/>
              <w:bottom w:val="single" w:color="CCCCCC" w:sz="4"/>
              <w:right w:val="single" w:color="CCCCCC" w:sz="4"/>
            </w:tcBorders>
            <w:shd w:fill="8C1515" w:val="clear"/>
            <w:tcMar>
              <w:top w:type="dxa" w:w="80"/>
              <w:left w:type="dxa" w:w="120"/>
              <w:bottom w:type="dxa" w:w="80"/>
              <w:right w:type="dxa" w:w="120"/>
            </w:tcMar>
          </w:tcPr>
          <w:p>
            <w:r>
              <w:rPr>
                <w:b/>
                <w:bCs/>
                <w:color w:val="FFFFFF"/>
                <w:sz w:val="18"/>
                <w:szCs w:val="18"/>
              </w:rPr>
              <w:t xml:space="preserve">Slide</w:t>
            </w:r>
          </w:p>
        </w:tc>
        <w:tc>
          <w:tcPr>
            <w:tcW w:type="dxa" w:w="4360"/>
            <w:tcBorders>
              <w:top w:val="single" w:color="CCCCCC" w:sz="4"/>
              <w:left w:val="single" w:color="CCCCCC" w:sz="4"/>
              <w:bottom w:val="single" w:color="CCCCCC" w:sz="4"/>
              <w:right w:val="single" w:color="CCCCCC" w:sz="4"/>
            </w:tcBorders>
            <w:shd w:fill="8C1515" w:val="clear"/>
            <w:tcMar>
              <w:top w:type="dxa" w:w="80"/>
              <w:left w:type="dxa" w:w="120"/>
              <w:bottom w:type="dxa" w:w="80"/>
              <w:right w:type="dxa" w:w="120"/>
            </w:tcMar>
          </w:tcPr>
          <w:p>
            <w:r>
              <w:rPr>
                <w:b/>
                <w:bCs/>
                <w:color w:val="FFFFFF"/>
                <w:sz w:val="18"/>
                <w:szCs w:val="18"/>
              </w:rPr>
              <w:t xml:space="preserve">Title</w:t>
            </w:r>
          </w:p>
        </w:tc>
        <w:tc>
          <w:tcPr>
            <w:tcW w:type="dxa" w:w="1800"/>
            <w:tcBorders>
              <w:top w:val="single" w:color="CCCCCC" w:sz="4"/>
              <w:left w:val="single" w:color="CCCCCC" w:sz="4"/>
              <w:bottom w:val="single" w:color="CCCCCC" w:sz="4"/>
              <w:right w:val="single" w:color="CCCCCC" w:sz="4"/>
            </w:tcBorders>
            <w:shd w:fill="8C1515" w:val="clear"/>
            <w:tcMar>
              <w:top w:type="dxa" w:w="80"/>
              <w:left w:type="dxa" w:w="120"/>
              <w:bottom w:type="dxa" w:w="80"/>
              <w:right w:type="dxa" w:w="120"/>
            </w:tcMar>
          </w:tcPr>
          <w:p>
            <w:r>
              <w:rPr>
                <w:b/>
                <w:bCs/>
                <w:color w:val="FFFFFF"/>
                <w:sz w:val="18"/>
                <w:szCs w:val="18"/>
              </w:rPr>
              <w:t xml:space="preserve">Time</w:t>
            </w:r>
          </w:p>
        </w:tc>
        <w:tc>
          <w:tcPr>
            <w:tcW w:type="dxa" w:w="2400"/>
            <w:tcBorders>
              <w:top w:val="single" w:color="CCCCCC" w:sz="4"/>
              <w:left w:val="single" w:color="CCCCCC" w:sz="4"/>
              <w:bottom w:val="single" w:color="CCCCCC" w:sz="4"/>
              <w:right w:val="single" w:color="CCCCCC" w:sz="4"/>
            </w:tcBorders>
            <w:shd w:fill="8C1515" w:val="clear"/>
            <w:tcMar>
              <w:top w:type="dxa" w:w="80"/>
              <w:left w:type="dxa" w:w="120"/>
              <w:bottom w:type="dxa" w:w="80"/>
              <w:right w:type="dxa" w:w="120"/>
            </w:tcMar>
          </w:tcPr>
          <w:p>
            <w:r>
              <w:rPr>
                <w:b/>
                <w:bCs/>
                <w:color w:val="FFFFFF"/>
                <w:sz w:val="18"/>
                <w:szCs w:val="18"/>
              </w:rPr>
              <w:t xml:space="preserve">Cumulative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1</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Title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5 sec</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0:05</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2</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Carving problem</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60 sec</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1:05</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3</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Construct + anti-constructs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60 sec</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2:05</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4</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Audit table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60 sec</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3:05</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5</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Design + pilot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75 sec</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4:20</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6</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Closing + recommendation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60 sec</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5:20</w:t>
            </w:r>
          </w:p>
        </w:tc>
      </w:tr>
    </w:tbl>
    <w:p>
      <w:pPr>
        <w:spacing w:after="120"/>
      </w:pPr>
      <w:r>
        <w:rPr>
          <w:i/>
          <w:iCs/>
        </w:rPr>
        <w:t xml:space="preserve">If running long, cut slide 4 narration to: point at Substantive column, say it is undefended, move on. Slide 5 is non-negotiable — the 19× number must land.</w:t>
      </w:r>
    </w:p>
    <w:p>
      <w:pPr>
        <w:pBdr>
          <w:bottom w:val="single" w:color="8C1515" w:sz="6" w:space="1"/>
        </w:pBdr>
        <w:spacing w:after="120" w:before="120"/>
      </w:pPr>
    </w:p>
    <w:p>
      <w:pPr>
        <w:pStyle w:val="Heading2"/>
      </w:pPr>
      <w:r>
        <w:t xml:space="preserve">If you forget everything else</w:t>
      </w:r>
    </w:p>
    <w:p>
      <w:pPr>
        <w:pStyle w:val="ListParagraph"/>
        <w:numPr>
          <w:ilvl w:val="0"/>
          <w:numId w:val="2"/>
        </w:numPr>
        <w:spacing w:after="80"/>
      </w:pPr>
      <w:r>
        <w:t xml:space="preserve">Research documents LLM failures, but does not specify when failures are caused by hallucination.</w:t>
      </w:r>
    </w:p>
    <w:p>
      <w:pPr>
        <w:pStyle w:val="ListParagraph"/>
        <w:numPr>
          <w:ilvl w:val="0"/>
          <w:numId w:val="2"/>
        </w:numPr>
        <w:spacing w:after="80"/>
      </w:pPr>
      <w:r>
        <w:t xml:space="preserve">HIUA = P(forbidden action | hallucination ∧ salient prohibition). Conditional rate, not marginal.</w:t>
      </w:r>
    </w:p>
    <w:p>
      <w:pPr>
        <w:pStyle w:val="ListParagraph"/>
        <w:numPr>
          <w:ilvl w:val="0"/>
          <w:numId w:val="2"/>
        </w:numPr>
        <w:spacing w:after="80"/>
      </w:pPr>
      <w:r>
        <w:t xml:space="preserve">HIUA is sharpened against four anti-constructs: KBV, jailbreak, over-refusal, policy-invisible.</w:t>
      </w:r>
    </w:p>
    <w:p>
      <w:pPr>
        <w:pStyle w:val="ListParagraph"/>
        <w:numPr>
          <w:ilvl w:val="0"/>
          <w:numId w:val="2"/>
        </w:numPr>
        <w:spacing w:after="80"/>
      </w:pPr>
      <w:r>
        <w:t xml:space="preserve">Substantive aspect — the claim that hallucination CAUSED the violation — is undefended in surveyed corpus.</w:t>
      </w:r>
    </w:p>
    <w:p>
      <w:pPr>
        <w:pStyle w:val="ListParagraph"/>
        <w:numPr>
          <w:ilvl w:val="0"/>
          <w:numId w:val="2"/>
        </w:numPr>
        <w:spacing w:after="80"/>
      </w:pPr>
      <w:r>
        <w:t xml:space="preserve">Pilot finding: 1.2% vs 23.3% violation rate by salience. 19× difference. Simulator-verified, not judge-labeled.</w:t>
      </w:r>
    </w:p>
    <w:p>
      <w:pPr>
        <w:pStyle w:val="ListParagraph"/>
        <w:numPr>
          <w:ilvl w:val="0"/>
          <w:numId w:val="2"/>
        </w:numPr>
        <w:spacing w:after="80"/>
      </w:pPr>
      <w:r>
        <w:t xml:space="preserve">Smaller and on-construct beats larger and confounded when the cost is irreversible.</w:t>
      </w:r>
    </w:p>
    <w:p>
      <w:pPr>
        <w:pBdr>
          <w:bottom w:val="single" w:color="8C1515" w:sz="6" w:space="1"/>
        </w:pBdr>
        <w:spacing w:after="120" w:before="120"/>
      </w:pPr>
    </w:p>
    <w:p>
      <w:pPr>
        <w:pStyle w:val="Heading2"/>
      </w:pPr>
      <w:r>
        <w:t xml:space="preserve">Slide scripts</w:t>
      </w:r>
    </w:p>
    <w:p>
      <w:pPr>
        <w:pStyle w:val="Heading3"/>
      </w:pPr>
      <w:r>
        <w:t xml:space="preserve">Slide 2 — The carving problem (60 sec)</w:t>
      </w:r>
    </w:p>
    <w:p>
      <w:pPr>
        <w:spacing w:after="80" w:before="80"/>
        <w:ind w:left="360" w:right="360"/>
      </w:pPr>
      <w:r>
        <w:rPr>
          <w:i/>
          <w:iCs/>
        </w:rPr>
        <w:t xml:space="preserve">Research over the past eighteen months has documented that LLM agents fail at safety-relevant tasks. RoboPAIR achieved near-perfect attack success on three commercial robot platforms. ARMOR found that 21 commercial LLMs fail military-doctrine grounding. Anthropic's own red team found Claude Opus 4 chose blackmail in 96% of relevant scenarios.</w:t>
      </w:r>
    </w:p>
    <w:p>
      <w:pPr>
        <w:spacing w:after="80" w:before="80"/>
        <w:ind w:left="360" w:right="360"/>
      </w:pPr>
      <w:r>
        <w:rPr>
          <w:i/>
          <w:iCs/>
        </w:rPr>
        <w:t xml:space="preserve">But the research does not specify WHEN these failures are caused by hallucination, when they are adversarial jailbreaks, when the model knew the rule and broke it anyway, and when the policy was simply absent from context. Those are different mechanisms with different appropriate interventions. Today's benchmarks collapse them into single aggregate violation rates.</w:t>
      </w:r>
    </w:p>
    <w:p>
      <w:pPr>
        <w:spacing w:after="80" w:before="80"/>
        <w:ind w:left="360" w:right="360"/>
      </w:pPr>
      <w:r>
        <w:rPr>
          <w:i/>
          <w:iCs/>
        </w:rPr>
        <w:t xml:space="preserve">We built a benchmark to isolate one of these mechanisms — the one most relevant to deployment in irreversible-action settings.</w:t>
      </w:r>
    </w:p>
    <w:p>
      <w:pPr>
        <w:pStyle w:val="Heading3"/>
      </w:pPr>
      <w:r>
        <w:t xml:space="preserve">Slide 3 — Construct + anti-constructs (60 sec)</w:t>
      </w:r>
    </w:p>
    <w:p>
      <w:pPr>
        <w:spacing w:after="80" w:before="80"/>
        <w:ind w:left="360" w:right="360"/>
      </w:pPr>
      <w:r>
        <w:rPr>
          <w:i/>
          <w:iCs/>
        </w:rPr>
        <w:t xml:space="preserve">We formalize that construct as Hallucination-Induced Unauthorized Action — HIUA. Formally: the conditional rate at which an agent, having hallucinated and with the prohibition salient in its context, executes a forbidden action.</w:t>
      </w:r>
    </w:p>
    <w:p>
      <w:pPr>
        <w:spacing w:after="80" w:before="80"/>
        <w:ind w:left="360" w:right="360"/>
      </w:pPr>
      <w:r>
        <w:rPr>
          <w:i/>
          <w:iCs/>
        </w:rPr>
        <w:t xml:space="preserve">The construct is sharpened by what it is not. Lucid violation, or knows-but-violates: the model recalled the rule and broke it anyway — DriftBench, 8 to 99 percent across models. Jailbreak compliance: an adversary explicitly instructed the harmful action — AgentHarm, RoboPAIR. Over-refusal: the model refused a permitted action — OR-Bench. Policy-invisible violation: the policy was absent from context — PhantomPolicy.</w:t>
      </w:r>
    </w:p>
    <w:p>
      <w:pPr>
        <w:spacing w:after="80" w:before="80"/>
        <w:ind w:left="360" w:right="360"/>
      </w:pPr>
      <w:r>
        <w:rPr>
          <w:i/>
          <w:iCs/>
        </w:rPr>
        <w:t xml:space="preserve">A measurement that cannot partition these four neighbors from HIUA is measuring a confounded construct.</w:t>
      </w:r>
    </w:p>
    <w:p>
      <w:pPr>
        <w:pStyle w:val="Heading3"/>
      </w:pPr>
      <w:r>
        <w:t xml:space="preserve">Slide 4 — Audit (60 sec)</w:t>
      </w:r>
    </w:p>
    <w:p>
      <w:pPr>
        <w:spacing w:after="80" w:before="80"/>
        <w:ind w:left="360" w:right="360"/>
      </w:pPr>
      <w:r>
        <w:rPr>
          <w:i/>
          <w:iCs/>
        </w:rPr>
        <w:t xml:space="preserve">We audited nine prior instruments against Messick's six aspects of validity. (POINT to Substantive column.) The substantive aspect — does the response match the theorized cognition — is essentially unaddressed across the surveyed corpus. DriftBench and HEAL are partial. Everywhere else, unaddressed.</w:t>
      </w:r>
    </w:p>
    <w:p>
      <w:pPr>
        <w:spacing w:after="80" w:before="80"/>
        <w:ind w:left="360" w:right="360"/>
      </w:pPr>
      <w:r>
        <w:rPr>
          <w:i/>
          <w:iCs/>
        </w:rPr>
        <w:t xml:space="preserve">HIUA-Bench, our proposed instrument, covers Content, Substantive, Structural, and Consequential by design. Generalizability and External are partial pending the full multi-seed run.</w:t>
      </w:r>
    </w:p>
    <w:p>
      <w:pPr>
        <w:pStyle w:val="Heading3"/>
      </w:pPr>
      <w:r>
        <w:t xml:space="preserve">Slide 5 — Design + pilot (75 sec) — HEADLINE SLIDE</w:t>
      </w:r>
    </w:p>
    <w:p>
      <w:pPr>
        <w:spacing w:after="80" w:before="80"/>
        <w:ind w:left="360" w:right="360"/>
      </w:pPr>
      <w:r>
        <w:rPr>
          <w:i/>
          <w:iCs/>
        </w:rPr>
        <w:t xml:space="preserve">HIUA-Bench is a 3-by-3-by-4 factorial. Three hallucination sub-types: authorization, state, tool. Three prohibition salience levels: early-system, mid-system, tool-docstring. Four task domains spanning the digital-to-embodied gradient. Three measurements per trial: simulator-verified outcome, judge-ensemble hallucination label on chain-of-thought, recall probe in fresh context. Reliability through Generalizability Theory.</w:t>
      </w:r>
    </w:p>
    <w:p>
      <w:pPr>
        <w:spacing w:after="80" w:before="80"/>
        <w:ind w:left="360" w:right="360"/>
      </w:pPr>
      <w:r>
        <w:rPr>
          <w:i/>
          <w:iCs/>
        </w:rPr>
        <w:t xml:space="preserve">We piloted against six open-weights models on Groq, 144 trials.</w:t>
      </w:r>
    </w:p>
    <w:p>
      <w:pPr>
        <w:spacing w:after="80" w:before="80"/>
        <w:ind w:left="360" w:right="360"/>
      </w:pPr>
      <w:r>
        <w:rPr>
          <w:i/>
          <w:iCs/>
        </w:rPr>
        <w:t xml:space="preserve">(SLOW DOWN HERE.) The headline finding is the salience effect. Low salience produced a 23.3 percent violation rate against 1.2 percent at high salience — a 19-times difference.</w:t>
      </w:r>
    </w:p>
    <w:p>
      <w:pPr>
        <w:spacing w:after="80" w:before="80"/>
        <w:ind w:left="360" w:right="360"/>
      </w:pPr>
      <w:r>
        <w:rPr>
          <w:i/>
          <w:iCs/>
        </w:rPr>
        <w:t xml:space="preserve">The 2-by-4-by-2 partition produced non-trivial occupancy in both HIUA and KBV cells — 11 and 4 trials — direct evidence that the cells are operationally distinguishable rather than reducing to a single mechanism.</w:t>
      </w:r>
    </w:p>
    <w:p>
      <w:pPr>
        <w:spacing w:after="80" w:before="80"/>
        <w:ind w:left="360" w:right="360"/>
      </w:pPr>
      <w:r>
        <w:rPr>
          <w:i/>
          <w:iCs/>
        </w:rPr>
        <w:t xml:space="preserve">Single seed. Kappa 0.419. Per-model rates lack standard errors. We are explicit about what the pilot does and does not establish.</w:t>
      </w:r>
    </w:p>
    <w:p>
      <w:pPr>
        <w:pStyle w:val="Heading3"/>
      </w:pPr>
      <w:r>
        <w:t xml:space="preserve">Slide 6 — Closing (60 sec)</w:t>
      </w:r>
    </w:p>
    <w:p>
      <w:pPr>
        <w:spacing w:after="80" w:before="80"/>
        <w:ind w:left="360" w:right="360"/>
      </w:pPr>
      <w:r>
        <w:rPr>
          <w:i/>
          <w:iCs/>
        </w:rPr>
        <w:t xml:space="preserve">A validity audit cannot decide whether a model is safe to deploy. It can decide which deployment claims a benchmark licenses.</w:t>
      </w:r>
    </w:p>
    <w:p>
      <w:pPr>
        <w:spacing w:after="80" w:before="80"/>
        <w:ind w:left="360" w:right="360"/>
      </w:pPr>
      <w:r>
        <w:rPr>
          <w:i/>
          <w:iCs/>
        </w:rPr>
        <w:t xml:space="preserve">A properly-measured HIUA score supports a bounded conditional claim: this agent will not, above rate alpha, hallucinate authorization, state, or tool effect and execute a forbidden action in distribution D. Different mechanisms imply different interventions — faithfulness for hallucinated authorization, perception-grounding for hallucinated state, instruction-following for lucid violation.</w:t>
      </w:r>
    </w:p>
    <w:p>
      <w:pPr>
        <w:spacing w:after="80" w:before="80"/>
        <w:ind w:left="360" w:right="360"/>
      </w:pPr>
      <w:r>
        <w:rPr>
          <w:i/>
          <w:iCs/>
        </w:rPr>
        <w:t xml:space="preserve">For model labs and infrastructure providers, this matters because the intervention choice is not free. An aggregate violation rate cannot tell a developer which fix is the right one.</w:t>
      </w:r>
    </w:p>
    <w:p>
      <w:pPr>
        <w:spacing w:after="80" w:before="80"/>
        <w:ind w:left="360" w:right="360"/>
      </w:pPr>
      <w:r>
        <w:rPr>
          <w:i/>
          <w:iCs/>
        </w:rPr>
        <w:t xml:space="preserve">It does not support broader or narrower safety claims, and it does not support transfer from digital sandbox to physical or lethal deployment. The pilot is digital-only.</w:t>
      </w:r>
    </w:p>
    <w:p>
      <w:pPr>
        <w:spacing w:after="80" w:before="80"/>
        <w:ind w:left="360" w:right="360"/>
      </w:pPr>
      <w:r>
        <w:rPr>
          <w:i/>
          <w:iCs/>
        </w:rPr>
        <w:t xml:space="preserve">Our consequential recommendation: gated release with AgentHarm-style harm-score controls, no public leaderboard, accompanied by a developer-signed deployment-claim audit. Make consequential validity an explicit object of test-developer responsibility.</w:t>
      </w:r>
    </w:p>
    <w:p>
      <w:pPr>
        <w:spacing w:after="80" w:before="80"/>
        <w:ind w:left="360" w:right="360"/>
      </w:pPr>
      <w:r>
        <w:rPr>
          <w:i/>
          <w:iCs/>
        </w:rPr>
        <w:t xml:space="preserve">Thank you. (STOP. Do not invite questions. Moderator opens Q&amp;A.)</w:t>
      </w:r>
    </w:p>
    <w:p>
      <w:r>
        <w:br w:type="page"/>
      </w:r>
    </w:p>
    <w:p>
      <w:pPr>
        <w:pStyle w:val="Heading2"/>
      </w:pPr>
      <w:r>
        <w:t xml:space="preserve">Q&amp;A cheat sheet</w:t>
      </w:r>
    </w:p>
    <w:p>
      <w:pPr>
        <w:spacing w:after="120"/>
      </w:pPr>
      <w:r>
        <w:t xml:space="preserve">Three-minute Q&amp;A. Maybe 3-5 questions total. Listen to the whole question before answering. Pause one beat. Land the first sentence cleanly.</w:t>
      </w:r>
    </w:p>
    <w:p>
      <w:pPr>
        <w:pStyle w:val="Heading3"/>
      </w:pPr>
      <w:r>
        <w:t xml:space="preserve">Brunskill (stats / measurement)</w:t>
      </w:r>
    </w:p>
    <w:p>
      <w:pPr>
        <w:spacing w:after="120"/>
      </w:pPr>
      <w:r>
        <w:rPr>
          <w:b/>
          <w:bCs/>
        </w:rPr>
        <w:t xml:space="preserve">Q: κ=0.419 is moderate. Why trust the partition?</w:t>
      </w:r>
    </w:p>
    <w:p>
      <w:pPr>
        <w:spacing w:after="80" w:before="80"/>
        <w:ind w:left="360" w:right="360"/>
      </w:pPr>
      <w:r>
        <w:rPr>
          <w:i/>
          <w:iCs/>
        </w:rPr>
        <w:t xml:space="preserve">Separate the empirical claims. Salience finding (1.2 vs 23.3) is on simulator-verified outcomes, kappa-independent. Partition distinguishability (HIUA cell and KBV cell both non-empty) is robust to moderate label noise — flipping 2-3 trials does not empty either cell. Per-model rates are kappa-sensitive, which is why we report them as point estimates without standard errors. The headline survives moderate kappa; the per-model breakdown does not, and we say so.</w:t>
      </w:r>
    </w:p>
    <w:p>
      <w:pPr>
        <w:spacing w:after="120"/>
      </w:pPr>
      <w:r>
        <w:rPr>
          <w:b/>
          <w:bCs/>
        </w:rPr>
        <w:t xml:space="preserve">Q: Salience might be confounded with item difficulty — same items at different salience levels?</w:t>
      </w:r>
    </w:p>
    <w:p>
      <w:pPr>
        <w:spacing w:after="80" w:before="80"/>
        <w:ind w:left="360" w:right="360"/>
      </w:pPr>
      <w:r>
        <w:rPr>
          <w:i/>
          <w:iCs/>
        </w:rPr>
        <w:t xml:space="preserve">Pilot does not run the crossed design that would identify it. Full 36-item factorial in Section 6 has items crossed with salience so within-item differences are identifiable. Pilot's 19× finding is preliminary support — consistent with, not causal-identification of, the salience effect.</w:t>
      </w:r>
    </w:p>
    <w:p>
      <w:pPr>
        <w:spacing w:after="120"/>
      </w:pPr>
      <w:r>
        <w:rPr>
          <w:b/>
          <w:bCs/>
        </w:rPr>
        <w:t xml:space="preserve">Q: How do you distinguish HIUA from KBV given chain-of-thought may be unfaithful?</w:t>
      </w:r>
    </w:p>
    <w:p>
      <w:pPr>
        <w:spacing w:after="80" w:before="80"/>
        <w:ind w:left="360" w:right="360"/>
      </w:pPr>
      <w:r>
        <w:rPr>
          <w:i/>
          <w:iCs/>
        </w:rPr>
        <w:t xml:space="preserve">Through the judge ensemble's hallucination label on the trace — which assumes the trace contains evidence of cognition. Named in limitations as a substantive-validity bottleneck. Future work: chain-of-thought intervention test — perturb the trace at the hallucination point, see if the action changes. If perturbation flips outcome, causal evidence. Pilot does not run this; it is item (iv).</w:t>
      </w:r>
    </w:p>
    <w:p>
      <w:pPr>
        <w:pStyle w:val="Heading3"/>
      </w:pPr>
      <w:r>
        <w:t xml:space="preserve">Donahoe (governance / consequential)</w:t>
      </w:r>
    </w:p>
    <w:p>
      <w:pPr>
        <w:spacing w:after="120"/>
      </w:pPr>
      <w:r>
        <w:rPr>
          <w:b/>
          <w:bCs/>
        </w:rPr>
        <w:t xml:space="preserve">Q: Military framing is rhetorical — your pilot is digital. Misleading?</w:t>
      </w:r>
    </w:p>
    <w:p>
      <w:pPr>
        <w:spacing w:after="80" w:before="80"/>
        <w:ind w:left="360" w:right="360"/>
      </w:pPr>
      <w:r>
        <w:rPr>
          <w:i/>
          <w:iCs/>
        </w:rPr>
        <w:t xml:space="preserve">Military framing motivates the consequential aspect — irreversible-action settings are where error-cost asymmetry flips. Empirical commitment is to tabletop simulators. Transfer from HIUA-Bench score to lethal-deployment risk is three levels of remove: simulator to physical robot to lethal physical robot. We cover the first; ARMOR and RoboPAIR are the empirical bridges for the next two. Bridge is not built in this paper, and we say so.</w:t>
      </w:r>
    </w:p>
    <w:p>
      <w:pPr>
        <w:spacing w:after="120"/>
      </w:pPr>
      <w:r>
        <w:rPr>
          <w:b/>
          <w:bCs/>
        </w:rPr>
        <w:t xml:space="preserve">Q: Why does HIUA-Bench get C on Consequential when prior work doesn't?</w:t>
      </w:r>
    </w:p>
    <w:p>
      <w:pPr>
        <w:spacing w:after="80" w:before="80"/>
        <w:ind w:left="360" w:right="360"/>
      </w:pPr>
      <w:r>
        <w:rPr>
          <w:i/>
          <w:iCs/>
        </w:rPr>
        <w:t xml:space="preserve">Three components: predict the failure modes, engineer the release against them, make the test author responsible. AgentHarm gates access (component 2). RoboPAIR and DriftBench discuss harms (component 1). Nobody does all three. HIUA-Bench: three predicted failure modes — surface gaming, prompt theater, false assurance — three release controls — gating, no public leaderboard, developer-signed deployment-claim audit — and consequential validity treated as test-developer responsibility, not marketplace side effect.</w:t>
      </w:r>
    </w:p>
    <w:p>
      <w:pPr>
        <w:spacing w:after="120"/>
      </w:pPr>
      <w:r>
        <w:rPr>
          <w:b/>
          <w:bCs/>
        </w:rPr>
        <w:t xml:space="preserve">Q: Is gated release actually a constraint or security theater?</w:t>
      </w:r>
    </w:p>
    <w:p>
      <w:pPr>
        <w:spacing w:after="80" w:before="80"/>
        <w:ind w:left="360" w:right="360"/>
      </w:pPr>
      <w:r>
        <w:rPr>
          <w:i/>
          <w:iCs/>
        </w:rPr>
        <w:t xml:space="preserve">Gated release alone is not sufficient. AgentHarm's model has the track record we lean on — has not eliminated misuse but eliminated worst leaderboard-driven gaming. The deployment-claim audit is the harder constraint: developers state in writing which claims the score supports. Combination is stronger than either component. Neither is a guarantee. Argument is raising the cost of misuse, not eliminating it.</w:t>
      </w:r>
    </w:p>
    <w:p>
      <w:pPr>
        <w:pStyle w:val="Heading3"/>
      </w:pPr>
      <w:r>
        <w:t xml:space="preserve">da Costa (a16z / commercial)</w:t>
      </w:r>
    </w:p>
    <w:p>
      <w:pPr>
        <w:spacing w:after="120"/>
      </w:pPr>
      <w:r>
        <w:rPr>
          <w:b/>
          <w:bCs/>
        </w:rPr>
        <w:t xml:space="preserve">Q: Who actually uses this? Adoption story?</w:t>
      </w:r>
    </w:p>
    <w:p>
      <w:pPr>
        <w:spacing w:after="80" w:before="80"/>
        <w:ind w:left="360" w:right="360"/>
      </w:pPr>
      <w:r>
        <w:rPr>
          <w:i/>
          <w:iCs/>
        </w:rPr>
        <w:t xml:space="preserve">Two audiences. Model labs running pre-deployment audits — same audience that runs AgentHarm. For them, HIUA-Bench partitions where AgentHarm cannot — distinguishes faithfulness fix from instruction-following fix from perception-grounding fix. Those are different interventions with different costs. Second audience: agent infrastructure providers shipping autonomous workflows. For them, the salience finding is the headline — predicts that a model passing a safety eval with prohibition prominent may fail in production where it is buried.</w:t>
      </w:r>
    </w:p>
    <w:p>
      <w:pPr>
        <w:spacing w:after="120"/>
      </w:pPr>
      <w:r>
        <w:rPr>
          <w:b/>
          <w:bCs/>
        </w:rPr>
        <w:t xml:space="preserve">Q: Results aren't very impressive. Defend them.</w:t>
      </w:r>
    </w:p>
    <w:p>
      <w:pPr>
        <w:spacing w:after="80" w:before="80"/>
        <w:ind w:left="360" w:right="360"/>
      </w:pPr>
      <w:r>
        <w:rPr>
          <w:i/>
          <w:iCs/>
        </w:rPr>
        <w:t xml:space="preserve">Pilot is feasibility evidence, not headline evidence. Job: show partition is realizable, scoring stack works. Done. The one independently-interesting finding — 19× salience effect — is simulator-verified and could not have been produced by any benchmark in the audit because none vary salience. Deliverable is the measurement framework, not the measurement on this panel. Pilot proves the framework works on commodity infrastructure at zero compute cost. Reproducible by any researcher with an internet connection.</w:t>
      </w:r>
    </w:p>
    <w:p>
      <w:pPr>
        <w:spacing w:after="120"/>
      </w:pPr>
      <w:r>
        <w:rPr>
          <w:b/>
          <w:bCs/>
        </w:rPr>
        <w:t xml:space="preserve">Q: Why does measurement validity matter commercially?</w:t>
      </w:r>
    </w:p>
    <w:p>
      <w:pPr>
        <w:spacing w:after="80" w:before="80"/>
        <w:ind w:left="360" w:right="360"/>
      </w:pPr>
      <w:r>
        <w:rPr>
          <w:i/>
          <w:iCs/>
        </w:rPr>
        <w:t xml:space="preserve">If you are an infrastructure provider relying on a vendor's benchmark score to make a deployment decision, you are licensed to claim safety under conditions the vendor measured — not under conditions production produces. The 19× salience effect is empirical evidence of that gap. It is a measurement-validity gap that bears directly on the commercial reliability of agents shipping today.</w:t>
      </w:r>
    </w:p>
    <w:p>
      <w:pPr>
        <w:pStyle w:val="Heading3"/>
      </w:pPr>
      <w:r>
        <w:t xml:space="preserve">Frye (Modal / infrastructure)</w:t>
      </w:r>
    </w:p>
    <w:p>
      <w:pPr>
        <w:spacing w:after="120"/>
      </w:pPr>
      <w:r>
        <w:rPr>
          <w:b/>
          <w:bCs/>
        </w:rPr>
        <w:t xml:space="preserve">Q: What broke when you built the experiment infrastructure?</w:t>
      </w:r>
    </w:p>
    <w:p>
      <w:pPr>
        <w:spacing w:after="80" w:before="80"/>
        <w:ind w:left="360" w:right="360"/>
      </w:pPr>
      <w:r>
        <w:rPr>
          <w:i/>
          <w:iCs/>
        </w:rPr>
        <w:t xml:space="preserve">Eight cascading vLLM failures: modulenotfound, future-annotations, transformers 5.x breaking changes, vLLM v1 engine EngineCoreRequestType crash, Gemma system-role template error, CUDA illegal memory. Pivoted off self-hosted entirely. Ran the pilot through Groq free-tier inference, zero dollars. Modal infrastructure remains in the repo for closed models and MoE giants. Judging stack hit Groq's daily request-per-model cap on Llama 3.3 70B — one judge has 20/144 valid labels.</w:t>
      </w:r>
    </w:p>
    <w:p>
      <w:pPr>
        <w:spacing w:after="120"/>
      </w:pPr>
      <w:r>
        <w:rPr>
          <w:b/>
          <w:bCs/>
        </w:rPr>
        <w:t xml:space="preserve">Q: Why Groq instead of self-hosted Modal?</w:t>
      </w:r>
    </w:p>
    <w:p>
      <w:pPr>
        <w:spacing w:after="80" w:before="80"/>
        <w:ind w:left="360" w:right="360"/>
      </w:pPr>
      <w:r>
        <w:rPr>
          <w:i/>
          <w:iCs/>
        </w:rPr>
        <w:t xml:space="preserve">Self-hosted on Modal with vLLM was the original plan. Eight cascading failures over a week made the pivot. Groq's free-tier was zero-dollar and unblocked the analysis pipeline. Lessons: start with hosted inference, validate analysis pipeline first, self-host only when the analysis layer is stable. Rate limits are a first-class facet of the design — they bound which kappa you can compute.</w:t>
      </w:r>
    </w:p>
    <w:p>
      <w:pPr>
        <w:spacing w:after="120"/>
      </w:pPr>
      <w:r>
        <w:rPr>
          <w:b/>
          <w:bCs/>
        </w:rPr>
        <w:t xml:space="preserve">Q: How does an open-source community replicate?</w:t>
      </w:r>
    </w:p>
    <w:p>
      <w:pPr>
        <w:spacing w:after="80" w:before="80"/>
        <w:ind w:left="360" w:right="360"/>
      </w:pPr>
      <w:r>
        <w:rPr>
          <w:i/>
          <w:iCs/>
        </w:rPr>
        <w:t xml:space="preserve">Zero compute cost on Groq free-tier. Repo includes Modal scaffolding for closed-model panels. Pipeline: 24 items × 6 models × 1 seed runnable in roughly 90 minutes wall-clock if you accept Groq's rate caps. Full factorial — 36 items × 4 paraphrases × 3 seeds × 8-12 models — requires either paid inference or multi-day rate-limited Groq runs.</w:t>
      </w:r>
    </w:p>
    <w:p>
      <w:pPr>
        <w:pBdr>
          <w:bottom w:val="single" w:color="8C1515" w:sz="6" w:space="1"/>
        </w:pBdr>
        <w:spacing w:after="120" w:before="120"/>
      </w:pPr>
    </w:p>
    <w:p>
      <w:pPr>
        <w:pStyle w:val="Heading2"/>
      </w:pPr>
      <w:r>
        <w:t xml:space="preserve">Rescue phrases</w:t>
      </w:r>
    </w:p>
    <w:p>
      <w:pPr>
        <w:spacing w:after="120"/>
      </w:pPr>
      <w:r>
        <w:t xml:space="preserve">If you lose the thread, breathe. Use one of these to buy time and re-enter.</w:t>
      </w:r>
    </w:p>
    <w:p>
      <w:pPr>
        <w:pStyle w:val="ListParagraph"/>
        <w:numPr>
          <w:ilvl w:val="0"/>
          <w:numId w:val="2"/>
        </w:numPr>
        <w:spacing w:after="80"/>
      </w:pPr>
      <w:r>
        <w:t xml:space="preserve">"Let me restate that."</w:t>
      </w:r>
    </w:p>
    <w:p>
      <w:pPr>
        <w:pStyle w:val="ListParagraph"/>
        <w:numPr>
          <w:ilvl w:val="0"/>
          <w:numId w:val="2"/>
        </w:numPr>
        <w:spacing w:after="80"/>
      </w:pPr>
      <w:r>
        <w:t xml:space="preserve">"The point I want to make there is —"</w:t>
      </w:r>
    </w:p>
    <w:p>
      <w:pPr>
        <w:pStyle w:val="ListParagraph"/>
        <w:numPr>
          <w:ilvl w:val="0"/>
          <w:numId w:val="2"/>
        </w:numPr>
        <w:spacing w:after="80"/>
      </w:pPr>
      <w:r>
        <w:t xml:space="preserve">"Two things are happening in that question." (Then list them.)</w:t>
      </w:r>
    </w:p>
    <w:p>
      <w:pPr>
        <w:pStyle w:val="ListParagraph"/>
        <w:numPr>
          <w:ilvl w:val="0"/>
          <w:numId w:val="2"/>
        </w:numPr>
        <w:spacing w:after="80"/>
      </w:pPr>
      <w:r>
        <w:t xml:space="preserve">"I want to be careful not to overclaim. What the pilot actually establishes is —"</w:t>
      </w:r>
    </w:p>
    <w:p>
      <w:pPr>
        <w:pStyle w:val="ListParagraph"/>
        <w:numPr>
          <w:ilvl w:val="0"/>
          <w:numId w:val="2"/>
        </w:numPr>
        <w:spacing w:after="80"/>
      </w:pPr>
      <w:r>
        <w:t xml:space="preserve">"That's a fair pushback. Our defense is —"</w:t>
      </w:r>
    </w:p>
    <w:p>
      <w:pPr>
        <w:spacing w:after="120"/>
      </w:pPr>
      <w:r>
        <w:t xml:space="preserve">Do not say: "It's a course paper." Do not say: "That's a good question." Do not start an answer with "So."</w:t>
      </w:r>
    </w:p>
    <w:p>
      <w:pPr>
        <w:pBdr>
          <w:bottom w:val="single" w:color="8C1515" w:sz="6" w:space="1"/>
        </w:pBdr>
        <w:spacing w:after="120" w:before="120"/>
      </w:pPr>
    </w:p>
    <w:p>
      <w:pPr>
        <w:pStyle w:val="Heading2"/>
      </w:pPr>
      <w:r>
        <w:t xml:space="preserve">What NOT to say</w:t>
      </w:r>
    </w:p>
    <w:p>
      <w:pPr>
        <w:pStyle w:val="ListParagraph"/>
        <w:numPr>
          <w:ilvl w:val="0"/>
          <w:numId w:val="2"/>
        </w:numPr>
        <w:spacing w:after="80"/>
      </w:pPr>
      <w:r>
        <w:t xml:space="preserve">Do not say "we prove" anything. Use "evidence consistent with," "preliminary support for," "operationally distinguishable."</w:t>
      </w:r>
    </w:p>
    <w:p>
      <w:pPr>
        <w:pStyle w:val="ListParagraph"/>
        <w:numPr>
          <w:ilvl w:val="0"/>
          <w:numId w:val="2"/>
        </w:numPr>
        <w:spacing w:after="80"/>
      </w:pPr>
      <w:r>
        <w:t xml:space="preserve">Do not say "small sample size is fine because qualitative findings are stable." Brunskill will hear it as a hedge.</w:t>
      </w:r>
    </w:p>
    <w:p>
      <w:pPr>
        <w:pStyle w:val="ListParagraph"/>
        <w:numPr>
          <w:ilvl w:val="0"/>
          <w:numId w:val="2"/>
        </w:numPr>
        <w:spacing w:after="80"/>
      </w:pPr>
      <w:r>
        <w:t xml:space="preserve">Do not mention the eight vLLM failures unless Frye asks. If he does, lean in.</w:t>
      </w:r>
    </w:p>
    <w:p>
      <w:pPr>
        <w:pStyle w:val="ListParagraph"/>
        <w:numPr>
          <w:ilvl w:val="0"/>
          <w:numId w:val="2"/>
        </w:numPr>
        <w:spacing w:after="80"/>
      </w:pPr>
      <w:r>
        <w:t xml:space="preserve">Do not say the results are unimpressive. The pilot is feasibility evidence; over-interpreting it is the opposite of measurement rigor.</w:t>
      </w:r>
    </w:p>
    <w:p>
      <w:pPr>
        <w:pStyle w:val="ListParagraph"/>
        <w:numPr>
          <w:ilvl w:val="0"/>
          <w:numId w:val="2"/>
        </w:numPr>
        <w:spacing w:after="80"/>
      </w:pPr>
      <w:r>
        <w:t xml:space="preserve">Do not end on "any questions?" End on the consequential recommendation. The moderator opens Q&amp;A.</w:t>
      </w:r>
    </w:p>
    <w:p>
      <w:pPr>
        <w:pBdr>
          <w:bottom w:val="single" w:color="8C1515" w:sz="6" w:space="1"/>
        </w:pBdr>
        <w:spacing w:after="120" w:before="120"/>
      </w:pPr>
    </w:p>
    <w:p>
      <w:pPr>
        <w:pStyle w:val="Heading2"/>
      </w:pPr>
      <w:r>
        <w:t xml:space="preserve">Key numbers — memorize cold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0"/>
        <w:gridCol w:w="4500"/>
      </w:tblGrid>
      <w:tr>
        <w:tc>
          <w:tcPr>
            <w:tcW w:type="dxa" w:w="4860"/>
            <w:tcBorders>
              <w:top w:val="single" w:color="CCCCCC" w:sz="4"/>
              <w:left w:val="single" w:color="CCCCCC" w:sz="4"/>
              <w:bottom w:val="single" w:color="CCCCCC" w:sz="4"/>
              <w:right w:val="single" w:color="CCCCCC" w:sz="4"/>
            </w:tcBorders>
            <w:shd w:fill="8C1515" w:val="clear"/>
            <w:tcMar>
              <w:top w:type="dxa" w:w="80"/>
              <w:left w:type="dxa" w:w="120"/>
              <w:bottom w:type="dxa" w:w="80"/>
              <w:right w:type="dxa" w:w="120"/>
            </w:tcMar>
          </w:tcPr>
          <w:p>
            <w:r>
              <w:rPr>
                <w:b/>
                <w:bCs/>
                <w:color w:val="FFFFFF"/>
                <w:sz w:val="18"/>
                <w:szCs w:val="18"/>
              </w:rPr>
              <w:t xml:space="preserve">Quantity</w:t>
            </w:r>
          </w:p>
        </w:tc>
        <w:tc>
          <w:tcPr>
            <w:tcW w:type="dxa" w:w="4500"/>
            <w:tcBorders>
              <w:top w:val="single" w:color="CCCCCC" w:sz="4"/>
              <w:left w:val="single" w:color="CCCCCC" w:sz="4"/>
              <w:bottom w:val="single" w:color="CCCCCC" w:sz="4"/>
              <w:right w:val="single" w:color="CCCCCC" w:sz="4"/>
            </w:tcBorders>
            <w:shd w:fill="8C1515" w:val="clear"/>
            <w:tcMar>
              <w:top w:type="dxa" w:w="80"/>
              <w:left w:type="dxa" w:w="120"/>
              <w:bottom w:type="dxa" w:w="80"/>
              <w:right w:type="dxa" w:w="120"/>
            </w:tcMar>
          </w:tcPr>
          <w:p>
            <w:r>
              <w:rPr>
                <w:b/>
                <w:bCs/>
                <w:color w:val="FFFFFF"/>
                <w:sz w:val="18"/>
                <w:szCs w:val="18"/>
              </w:rPr>
              <w:t xml:space="preserve">Value</w:t>
            </w:r>
          </w:p>
        </w:tc>
      </w:tr>
      <w:tr>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Total trials in pilot</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144</w:t>
            </w:r>
          </w:p>
        </w:tc>
      </w:tr>
      <w:tr>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Models in panel</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6 (Llama 3.1 8B, 3.3 70B, 4 Scout, Qwen3 32B, GPT-OSS 20B, 120B)</w:t>
            </w:r>
          </w:p>
        </w:tc>
      </w:tr>
      <w:tr>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High-salience violation rate</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1.2%  (n=84)</w:t>
            </w:r>
          </w:p>
        </w:tc>
      </w:tr>
      <w:tr>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Low-salience violation rate</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23.3% (n=60)</w:t>
            </w:r>
          </w:p>
        </w:tc>
      </w:tr>
      <w:tr>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Salience effect</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19× difference</w:t>
            </w:r>
          </w:p>
        </w:tc>
      </w:tr>
      <w:tr>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HIUA-candidate trials</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11</w:t>
            </w:r>
          </w:p>
        </w:tc>
      </w:tr>
      <w:tr>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KBV trials</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4</w:t>
            </w:r>
          </w:p>
        </w:tc>
      </w:tr>
      <w:tr>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HIUA:KBV ratio</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~2.75:1</w:t>
            </w:r>
          </w:p>
        </w:tc>
      </w:tr>
      <w:tr>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Best judge-pair kappa</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0.419 (n=138)</w:t>
            </w:r>
          </w:p>
        </w:tc>
      </w:tr>
      <w:tr>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Recall judge-fallback rate</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28.2%</w:t>
            </w:r>
          </w:p>
        </w:tc>
      </w:tr>
      <w:tr>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Action regex / refusal-prefix / judge</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45.8% / 51.4% / 1.4%</w:t>
            </w:r>
          </w:p>
        </w:tc>
      </w:tr>
      <w:tr>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Llama 3.3 70B valid judge labels</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20/144 (Groq RPD cap)</w:t>
            </w:r>
          </w:p>
        </w:tc>
      </w:tr>
      <w:tr>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Llama 3.1 8B violation rate</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20.8%</w:t>
            </w:r>
          </w:p>
        </w:tc>
      </w:tr>
      <w:tr>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GPT-OSS 120B violation rate</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0.0% (refusal floor)</w:t>
            </w:r>
          </w:p>
        </w:tc>
      </w:tr>
      <w:tr>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Llama 4 Scout — most lucid violator</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18"/>
                <w:szCs w:val="18"/>
              </w:rPr>
              <w:t xml:space="preserve">8.3% KBV share</w:t>
            </w:r>
          </w:p>
        </w:tc>
      </w:tr>
    </w:tbl>
    <w:p>
      <w:pPr>
        <w:pBdr>
          <w:bottom w:val="single" w:color="8C1515" w:sz="6" w:space="1"/>
        </w:pBdr>
        <w:spacing w:after="120" w:before="120"/>
      </w:pPr>
    </w:p>
    <w:p>
      <w:pPr>
        <w:pStyle w:val="Heading2"/>
      </w:pPr>
      <w:r>
        <w:t xml:space="preserve">Backup concepts (if a judge goes deep)</w:t>
      </w:r>
    </w:p>
    <w:p>
      <w:pPr>
        <w:pStyle w:val="Heading3"/>
      </w:pPr>
      <w:r>
        <w:t xml:space="preserve">Three sub-constructs map onto agent-pipeline stages</w:t>
      </w:r>
    </w:p>
    <w:p>
      <w:pPr>
        <w:pStyle w:val="ListParagraph"/>
        <w:numPr>
          <w:ilvl w:val="0"/>
          <w:numId w:val="2"/>
        </w:numPr>
        <w:spacing w:after="80"/>
      </w:pPr>
      <w:r>
        <w:t xml:space="preserve">Authorization hallucination — reasoning stage (agent fabricates permission).</w:t>
      </w:r>
    </w:p>
    <w:p>
      <w:pPr>
        <w:pStyle w:val="ListParagraph"/>
        <w:numPr>
          <w:ilvl w:val="0"/>
          <w:numId w:val="2"/>
        </w:numPr>
        <w:spacing w:after="80"/>
      </w:pPr>
      <w:r>
        <w:t xml:space="preserve">State hallucination — perception stage (agent fabricates world state).</w:t>
      </w:r>
    </w:p>
    <w:p>
      <w:pPr>
        <w:pStyle w:val="ListParagraph"/>
        <w:numPr>
          <w:ilvl w:val="0"/>
          <w:numId w:val="2"/>
        </w:numPr>
        <w:spacing w:after="80"/>
      </w:pPr>
      <w:r>
        <w:t xml:space="preserve">Tool hallucination — execution stage (agent fabricates tool effect).</w:t>
      </w:r>
    </w:p>
    <w:p>
      <w:pPr>
        <w:spacing w:after="120"/>
      </w:pPr>
      <w:r>
        <w:t xml:space="preserve">Taxonomy from the agent-hallucination survey [18]. If field's taxonomy revises, sub-construct count revises with it. Decomposition is theoretically motivated, not empirically convenient.</w:t>
      </w:r>
    </w:p>
    <w:p>
      <w:pPr>
        <w:pStyle w:val="Heading3"/>
      </w:pPr>
      <w:r>
        <w:t xml:space="preserve">Four domains span the digital-to-embodied gradient</w:t>
      </w:r>
    </w:p>
    <w:p>
      <w:pPr>
        <w:pStyle w:val="ListParagraph"/>
        <w:numPr>
          <w:ilvl w:val="0"/>
          <w:numId w:val="2"/>
        </w:numPr>
        <w:spacing w:after="80"/>
      </w:pPr>
      <w:r>
        <w:t xml:space="preserve">File operations — digital, low stakes. Endpoint of gradient.</w:t>
      </w:r>
    </w:p>
    <w:p>
      <w:pPr>
        <w:pStyle w:val="ListParagraph"/>
        <w:numPr>
          <w:ilvl w:val="0"/>
          <w:numId w:val="2"/>
        </w:numPr>
        <w:spacing w:after="80"/>
      </w:pPr>
      <w:r>
        <w:t xml:space="preserve">Communication — digital, medium stakes.</w:t>
      </w:r>
    </w:p>
    <w:p>
      <w:pPr>
        <w:pStyle w:val="ListParagraph"/>
        <w:numPr>
          <w:ilvl w:val="0"/>
          <w:numId w:val="2"/>
        </w:numPr>
        <w:spacing w:after="80"/>
      </w:pPr>
      <w:r>
        <w:t xml:space="preserve">Financial — digital, high stakes (irreversible monetary).</w:t>
      </w:r>
    </w:p>
    <w:p>
      <w:pPr>
        <w:pStyle w:val="ListParagraph"/>
        <w:numPr>
          <w:ilvl w:val="0"/>
          <w:numId w:val="2"/>
        </w:numPr>
        <w:spacing w:after="80"/>
      </w:pPr>
      <w:r>
        <w:t xml:space="preserve">Embodied (AI2-THOR) — physical, highest stakes. Other endpoint.</w:t>
      </w:r>
    </w:p>
    <w:p>
      <w:pPr>
        <w:spacing w:after="120"/>
      </w:pPr>
      <w:r>
        <w:t xml:space="preserve">Two endpoints bracket the gradient; two interior anchors instrument increasing stakes. Lethal-physical is one level past embodied; not laboratory-instrumentable.</w:t>
      </w:r>
    </w:p>
    <w:p>
      <w:pPr>
        <w:pStyle w:val="Heading3"/>
      </w:pPr>
      <w:r>
        <w:t xml:space="preserve">Anti-constructs: why decompose?</w:t>
      </w:r>
    </w:p>
    <w:p>
      <w:pPr>
        <w:spacing w:after="120"/>
      </w:pPr>
      <w:r>
        <w:t xml:space="preserve">A construct without anti-constructs is not falsifiable. Anti-constructs make HIUA empirically discriminable, commit it to a specific intervention claim, and place it in the nomological network. Cronbach-Meehl point.</w:t>
      </w:r>
    </w:p>
    <w:p>
      <w:pPr>
        <w:pStyle w:val="Heading3"/>
      </w:pPr>
      <w:r>
        <w:t xml:space="preserve">Why salience matters and AgentHarm doesn't have it</w:t>
      </w:r>
    </w:p>
    <w:p>
      <w:pPr>
        <w:spacing w:after="120"/>
      </w:pPr>
      <w:r>
        <w:t xml:space="preserve">AgentHarm and HIUA measure inverse conditions. AgentHarm measures compliance with explicit harmful instructions — no prohibition, salience is irrelevant. HIUA measures violation despite an explicit prohibition — salience is the conditioning event. Without salience variation, HIUA reduces to aggregate violation rate.</w:t>
      </w:r>
    </w:p>
    <w:p>
      <w:pPr>
        <w:pStyle w:val="Heading3"/>
      </w:pPr>
      <w:r>
        <w:t xml:space="preserve">Recall probe is the diagnostic between HIUA and policy-invisible</w:t>
      </w:r>
    </w:p>
    <w:p>
      <w:pPr>
        <w:spacing w:after="120"/>
      </w:pPr>
      <w:r>
        <w:t xml:space="preserve">Issued in fresh context. If model restates rule, the rule was attended. Violation in that condition is HIUA or KBV. If model fails to restate, the rule was not attended — policy-invisible regime. PhantomPolicy formalizes the absent-prohibition case; our low-salience condition keeps the prohibition in context but buried.</w:t>
      </w:r>
    </w:p>
    <w:p>
      <w:pPr>
        <w:pBdr>
          <w:bottom w:val="single" w:color="8C1515" w:sz="6" w:space="1"/>
        </w:pBdr>
        <w:spacing w:after="120" w:before="120"/>
      </w:pPr>
    </w:p>
    <w:p>
      <w:pPr>
        <w:pStyle w:val="Heading2"/>
      </w:pPr>
      <w:r>
        <w:t xml:space="preserve">If you do not know the answer</w:t>
      </w:r>
    </w:p>
    <w:p>
      <w:pPr>
        <w:spacing w:after="120"/>
      </w:pPr>
      <w:r>
        <w:t xml:space="preserve">Say: "I do not have that data in front of me — let me get back to you after the showcase." Then write it down on this page and follow up by email. Do not invent an answer in the moment. Do not retreat into "it's a course paper."</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Klosowski &amp; Campeau · HIUA-Bench · CS321M Showcase ·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Georgia" w:cs="Georgia" w:eastAsia="Georgia" w:hAnsi="Georgia"/>
      <w:b/>
      <w:bCs/>
      <w:color w:val="8C1515"/>
      <w:sz w:val="36"/>
      <w:szCs w:val="36"/>
    </w:rPr>
  </w:style>
  <w:style w:type="paragraph" w:styleId="Heading2">
    <w:name w:val="Heading 2"/>
    <w:basedOn w:val="Normal"/>
    <w:next w:val="Normal"/>
    <w:qFormat/>
    <w:pPr>
      <w:spacing w:after="120" w:before="240"/>
      <w:outlineLvl w:val="1"/>
    </w:pPr>
    <w:rPr>
      <w:rFonts w:ascii="Georgia" w:cs="Georgia" w:eastAsia="Georgia" w:hAnsi="Georgia"/>
      <w:b/>
      <w:bCs/>
      <w:color w:val="8C1515"/>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E2D2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2026-06-03T23:16:48.255Z</dcterms:created>
  <dcterms:modified xsi:type="dcterms:W3CDTF">2026-06-03T23:16:48.255Z</dcterms:modified>
</cp:coreProperties>
</file>

<file path=docProps/custom.xml><?xml version="1.0" encoding="utf-8"?>
<Properties xmlns="http://schemas.openxmlformats.org/officeDocument/2006/custom-properties" xmlns:vt="http://schemas.openxmlformats.org/officeDocument/2006/docPropsVTypes"/>
</file>