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80"/>
        <w:jc w:val="center"/>
      </w:pPr>
      <w:r>
        <w:rPr>
          <w:rFonts w:ascii="Arial" w:cs="Arial" w:eastAsia="Arial" w:hAnsi="Arial"/>
          <w:b/>
          <w:bCs/>
          <w:color w:val="1A6B72"/>
          <w:sz w:val="56"/>
          <w:szCs w:val="56"/>
        </w:rPr>
        <w:t xml:space="preserve">Make Spanish Casual</w:t>
      </w:r>
    </w:p>
    <w:p>
      <w:pPr>
        <w:spacing w:after="80"/>
        <w:jc w:val="center"/>
      </w:pPr>
      <w:r>
        <w:rPr>
          <w:rFonts w:ascii="Arial" w:cs="Arial" w:eastAsia="Arial" w:hAnsi="Arial"/>
          <w:color w:val="555555"/>
          <w:sz w:val="30"/>
          <w:szCs w:val="30"/>
        </w:rPr>
        <w:t xml:space="preserve">Complete Rebranding &amp; Website Implementation Brief</w:t>
      </w:r>
    </w:p>
    <w:p>
      <w:pPr>
        <w:spacing w:after="400"/>
        <w:jc w:val="center"/>
      </w:pPr>
      <w:r>
        <w:rPr>
          <w:rFonts w:ascii="Arial" w:cs="Arial" w:eastAsia="Arial" w:hAnsi="Arial"/>
          <w:i/>
          <w:iCs/>
          <w:color w:val="555555"/>
          <w:sz w:val="20"/>
          <w:szCs w:val="20"/>
        </w:rPr>
        <w:t xml:space="preserve">Prepared June 2026  |  makespanishcasual.org  |  jake@makespanishcasual.org</w:t>
      </w:r>
    </w:p>
    <w:p>
      <w:pPr>
        <w:spacing w:after="600"/>
        <w:jc w:val="center"/>
      </w:pPr>
      <w:r>
        <w:rPr>
          <w:rFonts w:ascii="Arial" w:cs="Arial" w:eastAsia="Arial" w:hAnsi="Arial"/>
          <w:b/>
          <w:bCs/>
          <w:color w:val="E8A020"/>
          <w:sz w:val="20"/>
          <w:szCs w:val="20"/>
        </w:rPr>
        <w:t xml:space="preserve">For implementation via Claude Code on WordPress / Elementor</w:t>
      </w:r>
    </w:p>
    <w:p>
      <w:pPr>
        <w:pBdr>
          <w:bottom w:val="single" w:color="DDDDDD" w:sz="4" w:space="2"/>
        </w:pBdr>
        <w:spacing w:after="200" w:before="200"/>
      </w:pPr>
    </w:p>
    <w:p>
      <w:pPr>
        <w:pStyle w:val="Heading1"/>
        <w:pBdr>
          <w:bottom w:val="single" w:color="1A6B72" w:sz="6" w:space="4"/>
        </w:pBdr>
        <w:spacing w:after="160" w:before="400"/>
      </w:pPr>
      <w:r>
        <w:rPr>
          <w:rFonts w:ascii="Arial" w:cs="Arial" w:eastAsia="Arial" w:hAnsi="Arial"/>
          <w:b/>
          <w:bCs/>
          <w:color w:val="1A6B72"/>
          <w:sz w:val="36"/>
          <w:szCs w:val="36"/>
        </w:rPr>
        <w:t xml:space="preserve">Overview</w:t>
      </w:r>
    </w:p>
    <w:p>
      <w:pPr>
        <w:spacing w:after="100" w:before="60"/>
      </w:pPr>
      <w:r>
        <w:rPr>
          <w:rFonts w:ascii="Arial" w:cs="Arial" w:eastAsia="Arial" w:hAnsi="Arial"/>
          <w:b w:val="false"/>
          <w:bCs w:val="false"/>
          <w:i w:val="false"/>
          <w:iCs w:val="false"/>
          <w:color w:val="1C1C1E"/>
          <w:sz w:val="22"/>
          <w:szCs w:val="22"/>
        </w:rPr>
        <w:t xml:space="preserve">This document is the complete specification for the rebranding, restructuring, and rebuild of makespanishcasual.org. It is intended to be handed directly to Claude Code or a developer for implementation. It covers:</w:t>
      </w:r>
    </w:p>
    <w:p>
      <w:pPr>
        <w:spacing w:after="60"/>
      </w:pPr>
    </w:p>
    <w:p>
      <w:pPr>
        <w:pStyle w:val="ListParagraph"/>
        <w:numPr>
          <w:ilvl w:val="0"/>
          <w:numId w:val="2"/>
        </w:numPr>
        <w:spacing w:after="40" w:before="40"/>
      </w:pPr>
      <w:r>
        <w:rPr>
          <w:rFonts w:ascii="Arial" w:cs="Arial" w:eastAsia="Arial" w:hAnsi="Arial"/>
          <w:sz w:val="22"/>
          <w:szCs w:val="22"/>
        </w:rPr>
        <w:t xml:space="preserve">Organizational mission, vision, tagline, pillars, and brand voice</w:t>
      </w:r>
    </w:p>
    <w:p>
      <w:pPr>
        <w:pStyle w:val="ListParagraph"/>
        <w:numPr>
          <w:ilvl w:val="0"/>
          <w:numId w:val="2"/>
        </w:numPr>
        <w:spacing w:after="40" w:before="40"/>
      </w:pPr>
      <w:r>
        <w:rPr>
          <w:rFonts w:ascii="Arial" w:cs="Arial" w:eastAsia="Arial" w:hAnsi="Arial"/>
          <w:sz w:val="22"/>
          <w:szCs w:val="22"/>
        </w:rPr>
        <w:t xml:space="preserve">Three-program architecture</w:t>
      </w:r>
    </w:p>
    <w:p>
      <w:pPr>
        <w:pStyle w:val="ListParagraph"/>
        <w:numPr>
          <w:ilvl w:val="0"/>
          <w:numId w:val="2"/>
        </w:numPr>
        <w:spacing w:after="40" w:before="40"/>
      </w:pPr>
      <w:r>
        <w:rPr>
          <w:rFonts w:ascii="Arial" w:cs="Arial" w:eastAsia="Arial" w:hAnsi="Arial"/>
          <w:sz w:val="22"/>
          <w:szCs w:val="22"/>
        </w:rPr>
        <w:t xml:space="preserve">Full site navigation and page structure</w:t>
      </w:r>
    </w:p>
    <w:p>
      <w:pPr>
        <w:pStyle w:val="ListParagraph"/>
        <w:numPr>
          <w:ilvl w:val="0"/>
          <w:numId w:val="2"/>
        </w:numPr>
        <w:spacing w:after="40" w:before="40"/>
      </w:pPr>
      <w:r>
        <w:rPr>
          <w:rFonts w:ascii="Arial" w:cs="Arial" w:eastAsia="Arial" w:hAnsi="Arial"/>
          <w:sz w:val="22"/>
          <w:szCs w:val="22"/>
        </w:rPr>
        <w:t xml:space="preserve">Page-by-page content specifications and copy</w:t>
      </w:r>
    </w:p>
    <w:p>
      <w:pPr>
        <w:pStyle w:val="ListParagraph"/>
        <w:numPr>
          <w:ilvl w:val="0"/>
          <w:numId w:val="2"/>
        </w:numPr>
        <w:spacing w:after="40" w:before="40"/>
      </w:pPr>
      <w:r>
        <w:rPr>
          <w:rFonts w:ascii="Arial" w:cs="Arial" w:eastAsia="Arial" w:hAnsi="Arial"/>
          <w:sz w:val="22"/>
          <w:szCs w:val="22"/>
        </w:rPr>
        <w:t xml:space="preserve">Design direction (colors, typography, tone)</w:t>
      </w:r>
    </w:p>
    <w:p>
      <w:pPr>
        <w:pStyle w:val="ListParagraph"/>
        <w:numPr>
          <w:ilvl w:val="0"/>
          <w:numId w:val="2"/>
        </w:numPr>
        <w:spacing w:after="40" w:before="40"/>
      </w:pPr>
      <w:r>
        <w:rPr>
          <w:rFonts w:ascii="Arial" w:cs="Arial" w:eastAsia="Arial" w:hAnsi="Arial"/>
          <w:sz w:val="22"/>
          <w:szCs w:val="22"/>
        </w:rPr>
        <w:t xml:space="preserve">Immediate cleanup tasks — critical bugs to fix before redesign work</w:t>
      </w:r>
    </w:p>
    <w:p>
      <w:pPr>
        <w:pStyle w:val="ListParagraph"/>
        <w:numPr>
          <w:ilvl w:val="0"/>
          <w:numId w:val="2"/>
        </w:numPr>
        <w:spacing w:after="40" w:before="40"/>
      </w:pPr>
      <w:r>
        <w:rPr>
          <w:rFonts w:ascii="Arial" w:cs="Arial" w:eastAsia="Arial" w:hAnsi="Arial"/>
          <w:sz w:val="22"/>
          <w:szCs w:val="22"/>
        </w:rPr>
        <w:t xml:space="preserve">Complete founder and team bios</w:t>
      </w:r>
    </w:p>
    <w:p>
      <w:pPr>
        <w:pStyle w:val="ListParagraph"/>
        <w:numPr>
          <w:ilvl w:val="0"/>
          <w:numId w:val="2"/>
        </w:numPr>
        <w:spacing w:after="40" w:before="40"/>
      </w:pPr>
      <w:r>
        <w:rPr>
          <w:rFonts w:ascii="Arial" w:cs="Arial" w:eastAsia="Arial" w:hAnsi="Arial"/>
          <w:sz w:val="22"/>
          <w:szCs w:val="22"/>
        </w:rPr>
        <w:t xml:space="preserve">Notes for Claude Code / WordPress implementation</w:t>
      </w:r>
    </w:p>
    <w:p>
      <w:pPr>
        <w:spacing w:after="120"/>
      </w:pPr>
    </w:p>
    <w:p>
      <w:pPr>
        <w:spacing w:after="100" w:before="60"/>
      </w:pPr>
      <w:r>
        <w:rPr>
          <w:rFonts w:ascii="Arial" w:cs="Arial" w:eastAsia="Arial" w:hAnsi="Arial"/>
          <w:b w:val="false"/>
          <w:bCs w:val="false"/>
          <w:i w:val="false"/>
          <w:iCs w:val="false"/>
          <w:color w:val="1C1C1E"/>
          <w:sz w:val="22"/>
          <w:szCs w:val="22"/>
        </w:rPr>
        <w:t xml:space="preserve">The site runs on WordPress with Elementor. All implementation should work within that stack.</w:t>
      </w:r>
    </w:p>
    <w:p>
      <w:pPr>
        <w:pBdr>
          <w:bottom w:val="single" w:color="DDDDDD" w:sz="4" w:space="2"/>
        </w:pBdr>
        <w:spacing w:after="200" w:before="200"/>
      </w:pPr>
    </w:p>
    <w:p>
      <w:pPr>
        <w:pStyle w:val="Heading1"/>
        <w:pBdr>
          <w:bottom w:val="single" w:color="1A6B72" w:sz="6" w:space="4"/>
        </w:pBdr>
        <w:spacing w:after="160" w:before="400"/>
      </w:pPr>
      <w:r>
        <w:rPr>
          <w:rFonts w:ascii="Arial" w:cs="Arial" w:eastAsia="Arial" w:hAnsi="Arial"/>
          <w:b/>
          <w:bCs/>
          <w:color w:val="1A6B72"/>
          <w:sz w:val="36"/>
          <w:szCs w:val="36"/>
        </w:rPr>
        <w:t xml:space="preserve">Part 1: Organizational Identity</w:t>
      </w:r>
    </w:p>
    <w:p>
      <w:pPr>
        <w:pStyle w:val="Heading2"/>
        <w:spacing w:after="120" w:before="320"/>
      </w:pPr>
      <w:r>
        <w:rPr>
          <w:rFonts w:ascii="Arial" w:cs="Arial" w:eastAsia="Arial" w:hAnsi="Arial"/>
          <w:b/>
          <w:bCs/>
          <w:color w:val="1A6B72"/>
          <w:sz w:val="28"/>
          <w:szCs w:val="28"/>
        </w:rPr>
        <w:t xml:space="preserve">Background</w:t>
      </w:r>
    </w:p>
    <w:p>
      <w:pPr>
        <w:spacing w:after="100" w:before="60"/>
      </w:pPr>
      <w:r>
        <w:rPr>
          <w:rFonts w:ascii="Arial" w:cs="Arial" w:eastAsia="Arial" w:hAnsi="Arial"/>
          <w:b w:val="false"/>
          <w:bCs w:val="false"/>
          <w:i w:val="false"/>
          <w:iCs w:val="false"/>
          <w:color w:val="1C1C1E"/>
          <w:sz w:val="22"/>
          <w:szCs w:val="22"/>
        </w:rPr>
        <w:t xml:space="preserve">Make Spanish Casual (MSC) is a 501(c)3 nonprofit founded by Jake Li, a high school student in Plano, TX (Class of 2027, Plano East Senior High School / T.H. Williams High School). MSC is pivoting from a general Spanish slang education platform to a health equity and language access organization.</w:t>
      </w:r>
    </w:p>
    <w:p>
      <w:pPr>
        <w:spacing w:after="80"/>
      </w:pPr>
    </w:p>
    <w:p>
      <w:pPr>
        <w:spacing w:after="100" w:before="60"/>
      </w:pPr>
      <w:r>
        <w:rPr>
          <w:rFonts w:ascii="Arial" w:cs="Arial" w:eastAsia="Arial" w:hAnsi="Arial"/>
          <w:b w:val="false"/>
          <w:bCs w:val="false"/>
          <w:i w:val="false"/>
          <w:iCs w:val="false"/>
          <w:color w:val="1C1C1E"/>
          <w:sz w:val="22"/>
          <w:szCs w:val="22"/>
        </w:rPr>
        <w:t xml:space="preserve">Jake's background makes this pivot highly credible. His relevant experience includes:</w:t>
      </w:r>
    </w:p>
    <w:p>
      <w:pPr>
        <w:pStyle w:val="ListParagraph"/>
        <w:numPr>
          <w:ilvl w:val="0"/>
          <w:numId w:val="2"/>
        </w:numPr>
        <w:spacing w:after="40" w:before="40"/>
      </w:pPr>
      <w:r>
        <w:rPr>
          <w:rFonts w:ascii="Arial" w:cs="Arial" w:eastAsia="Arial" w:hAnsi="Arial"/>
          <w:sz w:val="22"/>
          <w:szCs w:val="22"/>
        </w:rPr>
        <w:t xml:space="preserve">500+ hours of language acquisition research at UW-Madison's Language Acquisition and Bilingualism (LAB) Laboratory under Dr. Kaushanskaya — investigating the impact of colloquialisms on cognitive development in children with developmental disabilities</w:t>
      </w:r>
    </w:p>
    <w:p>
      <w:pPr>
        <w:pStyle w:val="ListParagraph"/>
        <w:numPr>
          <w:ilvl w:val="0"/>
          <w:numId w:val="2"/>
        </w:numPr>
        <w:spacing w:after="40" w:before="40"/>
      </w:pPr>
      <w:r>
        <w:rPr>
          <w:rFonts w:ascii="Arial" w:cs="Arial" w:eastAsia="Arial" w:hAnsi="Arial"/>
          <w:sz w:val="22"/>
          <w:szCs w:val="22"/>
        </w:rPr>
        <w:t xml:space="preserve">Research intern at UT Southwestern Medical Center (Dr. Qing Zhang, cancer signaling research)</w:t>
      </w:r>
    </w:p>
    <w:p>
      <w:pPr>
        <w:pStyle w:val="ListParagraph"/>
        <w:numPr>
          <w:ilvl w:val="0"/>
          <w:numId w:val="2"/>
        </w:numPr>
        <w:spacing w:after="40" w:before="40"/>
      </w:pPr>
      <w:r>
        <w:rPr>
          <w:rFonts w:ascii="Arial" w:cs="Arial" w:eastAsia="Arial" w:hAnsi="Arial"/>
          <w:sz w:val="22"/>
          <w:szCs w:val="22"/>
        </w:rPr>
        <w:t xml:space="preserve">Completed Rice University's Spanish for Successful Communication in Healthcare Settings with an A+</w:t>
      </w:r>
    </w:p>
    <w:p>
      <w:pPr>
        <w:pStyle w:val="ListParagraph"/>
        <w:numPr>
          <w:ilvl w:val="0"/>
          <w:numId w:val="2"/>
        </w:numPr>
        <w:spacing w:after="40" w:before="40"/>
      </w:pPr>
      <w:r>
        <w:rPr>
          <w:rFonts w:ascii="Arial" w:cs="Arial" w:eastAsia="Arial" w:hAnsi="Arial"/>
          <w:sz w:val="22"/>
          <w:szCs w:val="22"/>
        </w:rPr>
        <w:t xml:space="preserve">Pre-Medicine track with intended major in Cognitive Science / Computational Linguistics at the intersection of language, AI, and medicine</w:t>
      </w:r>
    </w:p>
    <w:p>
      <w:pPr>
        <w:pStyle w:val="ListParagraph"/>
        <w:numPr>
          <w:ilvl w:val="0"/>
          <w:numId w:val="2"/>
        </w:numPr>
        <w:spacing w:after="40" w:before="40"/>
      </w:pPr>
      <w:r>
        <w:rPr>
          <w:rFonts w:ascii="Arial" w:cs="Arial" w:eastAsia="Arial" w:hAnsi="Arial"/>
          <w:sz w:val="22"/>
          <w:szCs w:val="22"/>
        </w:rPr>
        <w:t xml:space="preserve">Founder of Hindsight — AI patient safety startup accepted into MIT Sandbox, Microsoft for Startups (Azure), and AWS</w:t>
      </w:r>
    </w:p>
    <w:p>
      <w:pPr>
        <w:pStyle w:val="ListParagraph"/>
        <w:numPr>
          <w:ilvl w:val="0"/>
          <w:numId w:val="2"/>
        </w:numPr>
        <w:spacing w:after="40" w:before="40"/>
      </w:pPr>
      <w:r>
        <w:rPr>
          <w:rFonts w:ascii="Arial" w:cs="Arial" w:eastAsia="Arial" w:hAnsi="Arial"/>
          <w:sz w:val="22"/>
          <w:szCs w:val="22"/>
        </w:rPr>
        <w:t xml:space="preserve">Congressional advocacy for language legislation at Capitol Hill (2025, 2026) alongside U.S. Reps. Doggett and Crockett and Sen. Cruz</w:t>
      </w:r>
    </w:p>
    <w:p>
      <w:pPr>
        <w:pStyle w:val="ListParagraph"/>
        <w:numPr>
          <w:ilvl w:val="0"/>
          <w:numId w:val="2"/>
        </w:numPr>
        <w:spacing w:after="40" w:before="40"/>
      </w:pPr>
      <w:r>
        <w:rPr>
          <w:rFonts w:ascii="Arial" w:cs="Arial" w:eastAsia="Arial" w:hAnsi="Arial"/>
          <w:sz w:val="22"/>
          <w:szCs w:val="22"/>
        </w:rPr>
        <w:t xml:space="preserve">ACTFL presenter: Chicago (2023), Philadelphia (2024), New Orleans (2025)</w:t>
      </w:r>
    </w:p>
    <w:p>
      <w:pPr>
        <w:pStyle w:val="Heading2"/>
        <w:spacing w:after="120" w:before="320"/>
      </w:pPr>
      <w:r>
        <w:rPr>
          <w:rFonts w:ascii="Arial" w:cs="Arial" w:eastAsia="Arial" w:hAnsi="Arial"/>
          <w:b/>
          <w:bCs/>
          <w:color w:val="1A6B72"/>
          <w:sz w:val="28"/>
          <w:szCs w:val="28"/>
        </w:rPr>
        <w:t xml:space="preserve">Mission Statement</w:t>
      </w:r>
    </w:p>
    <w:p>
      <w:pPr>
        <w:pBdr>
          <w:left w:val="single" w:color="E8A020" w:sz="12" w:space="8"/>
        </w:pBdr>
        <w:spacing w:after="120" w:before="120"/>
        <w:ind w:left="720" w:right="720"/>
      </w:pPr>
      <w:r>
        <w:rPr>
          <w:rFonts w:ascii="Arial" w:cs="Arial" w:eastAsia="Arial" w:hAnsi="Arial"/>
          <w:i/>
          <w:iCs/>
          <w:color w:val="1A6B72"/>
          <w:sz w:val="22"/>
          <w:szCs w:val="22"/>
        </w:rPr>
        <w:t xml:space="preserve">"Make Spanish Casual advances equitable language access by providing free, culturally authentic Spanish education — with a particular focus on healthcare settings where language barriers directly affect the quality and safety of care."</w:t>
      </w:r>
    </w:p>
    <w:p>
      <w:pPr>
        <w:pStyle w:val="Heading2"/>
        <w:spacing w:after="120" w:before="320"/>
      </w:pPr>
      <w:r>
        <w:rPr>
          <w:rFonts w:ascii="Arial" w:cs="Arial" w:eastAsia="Arial" w:hAnsi="Arial"/>
          <w:b/>
          <w:bCs/>
          <w:color w:val="1A6B72"/>
          <w:sz w:val="28"/>
          <w:szCs w:val="28"/>
        </w:rPr>
        <w:t xml:space="preserve">Vision Statement</w:t>
      </w:r>
    </w:p>
    <w:p>
      <w:pPr>
        <w:pBdr>
          <w:left w:val="single" w:color="E8A020" w:sz="12" w:space="8"/>
        </w:pBdr>
        <w:spacing w:after="120" w:before="120"/>
        <w:ind w:left="720" w:right="720"/>
      </w:pPr>
      <w:r>
        <w:rPr>
          <w:rFonts w:ascii="Arial" w:cs="Arial" w:eastAsia="Arial" w:hAnsi="Arial"/>
          <w:i/>
          <w:iCs/>
          <w:color w:val="1A6B72"/>
          <w:sz w:val="22"/>
          <w:szCs w:val="22"/>
        </w:rPr>
        <w:t xml:space="preserve">"A future where no one receives worse care, fewer opportunities, or less justice because of the language they speak."</w:t>
      </w:r>
    </w:p>
    <w:p>
      <w:pPr>
        <w:pStyle w:val="Heading2"/>
        <w:spacing w:after="120" w:before="320"/>
      </w:pPr>
      <w:r>
        <w:rPr>
          <w:rFonts w:ascii="Arial" w:cs="Arial" w:eastAsia="Arial" w:hAnsi="Arial"/>
          <w:b/>
          <w:bCs/>
          <w:color w:val="1A6B72"/>
          <w:sz w:val="28"/>
          <w:szCs w:val="28"/>
        </w:rPr>
        <w:t xml:space="preserve">Tagline</w:t>
      </w:r>
    </w:p>
    <w:p>
      <w:pPr>
        <w:spacing w:after="100" w:before="60"/>
      </w:pPr>
      <w:r>
        <w:rPr>
          <w:rFonts w:ascii="Arial" w:cs="Arial" w:eastAsia="Arial" w:hAnsi="Arial"/>
          <w:b w:val="false"/>
          <w:bCs w:val="false"/>
          <w:i w:val="false"/>
          <w:iCs w:val="false"/>
          <w:color w:val="1C1C1E"/>
          <w:sz w:val="22"/>
          <w:szCs w:val="22"/>
        </w:rPr>
        <w:t xml:space="preserve">Replace all instances of "Education for Everyone" with:</w:t>
      </w:r>
    </w:p>
    <w:p>
      <w:pPr>
        <w:spacing w:after="80" w:before="120"/>
        <w:jc w:val="center"/>
      </w:pPr>
      <w:r>
        <w:rPr>
          <w:rFonts w:ascii="Arial" w:cs="Arial" w:eastAsia="Arial" w:hAnsi="Arial"/>
          <w:b/>
          <w:bCs/>
          <w:color w:val="1A6B72"/>
          <w:sz w:val="32"/>
          <w:szCs w:val="32"/>
        </w:rPr>
        <w:t xml:space="preserve">Language is access.</w:t>
      </w:r>
    </w:p>
    <w:p>
      <w:pPr>
        <w:spacing w:after="100" w:before="60"/>
      </w:pPr>
      <w:r>
        <w:rPr>
          <w:rFonts w:ascii="Arial" w:cs="Arial" w:eastAsia="Arial" w:hAnsi="Arial"/>
          <w:b w:val="false"/>
          <w:bCs w:val="false"/>
          <w:i/>
          <w:iCs/>
          <w:color w:val="1C1C1E"/>
          <w:sz w:val="22"/>
          <w:szCs w:val="22"/>
        </w:rPr>
        <w:t xml:space="preserve">Secondary tagline (for section subheadings and program descriptions): "Real Spanish. Real impact."</w:t>
      </w:r>
    </w:p>
    <w:p>
      <w:pPr>
        <w:pStyle w:val="Heading2"/>
        <w:spacing w:after="120" w:before="320"/>
      </w:pPr>
      <w:r>
        <w:rPr>
          <w:rFonts w:ascii="Arial" w:cs="Arial" w:eastAsia="Arial" w:hAnsi="Arial"/>
          <w:b/>
          <w:bCs/>
          <w:color w:val="1A6B72"/>
          <w:sz w:val="28"/>
          <w:szCs w:val="28"/>
        </w:rPr>
        <w:t xml:space="preserve">Four Mission Pillars</w:t>
      </w:r>
    </w:p>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CCCCCC" w:sz="1"/>
              <w:left w:val="single" w:color="CCCCCC" w:sz="1"/>
              <w:bottom w:val="single" w:color="CCCCCC" w:sz="1"/>
              <w:right w:val="single" w:color="CCCCCC" w:sz="1"/>
            </w:tcBorders>
            <w:shd w:fill="EAF4F5" w:val="clear"/>
            <w:tcMar>
              <w:top w:type="dxa" w:w="120"/>
              <w:left w:type="dxa" w:w="160"/>
              <w:bottom w:type="dxa" w:w="120"/>
              <w:right w:type="dxa" w:w="160"/>
            </w:tcMar>
          </w:tcPr>
          <w:p>
            <w:pPr>
              <w:spacing w:after="80"/>
            </w:pPr>
            <w:r>
              <w:rPr>
                <w:rFonts w:ascii="Arial" w:cs="Arial" w:eastAsia="Arial" w:hAnsi="Arial"/>
                <w:b/>
                <w:bCs/>
                <w:color w:val="1A6B72"/>
                <w:sz w:val="22"/>
                <w:szCs w:val="22"/>
              </w:rPr>
              <w:t xml:space="preserve">01. Authentic Language</w:t>
            </w:r>
          </w:p>
          <w:p>
            <w:pPr>
              <w:spacing w:after="0"/>
            </w:pPr>
            <w:r>
              <w:rPr>
                <w:rFonts w:ascii="Arial" w:cs="Arial" w:eastAsia="Arial" w:hAnsi="Arial"/>
                <w:color w:val="555555"/>
                <w:sz w:val="20"/>
                <w:szCs w:val="20"/>
              </w:rPr>
              <w:t xml:space="preserve">Slang, colloquialisms, and cultural idioms — the layer most programs skip but that determines whether communication actually works.</w:t>
            </w:r>
          </w:p>
        </w:tc>
        <w:tc>
          <w:tcPr>
            <w:tcW w:type="dxa" w:w="2160"/>
            <w:tcBorders>
              <w:top w:val="single" w:color="CCCCCC" w:sz="1"/>
              <w:left w:val="single" w:color="CCCCCC" w:sz="1"/>
              <w:bottom w:val="single" w:color="CCCCCC" w:sz="1"/>
              <w:right w:val="single" w:color="CCCCCC" w:sz="1"/>
            </w:tcBorders>
            <w:shd w:fill="EAF4F5" w:val="clear"/>
            <w:tcMar>
              <w:top w:type="dxa" w:w="120"/>
              <w:left w:type="dxa" w:w="160"/>
              <w:bottom w:type="dxa" w:w="120"/>
              <w:right w:type="dxa" w:w="160"/>
            </w:tcMar>
          </w:tcPr>
          <w:p>
            <w:pPr>
              <w:spacing w:after="80"/>
            </w:pPr>
            <w:r>
              <w:rPr>
                <w:rFonts w:ascii="Arial" w:cs="Arial" w:eastAsia="Arial" w:hAnsi="Arial"/>
                <w:b/>
                <w:bCs/>
                <w:color w:val="1A6B72"/>
                <w:sz w:val="22"/>
                <w:szCs w:val="22"/>
              </w:rPr>
              <w:t xml:space="preserve">02. Health Equity</w:t>
            </w:r>
          </w:p>
          <w:p>
            <w:pPr>
              <w:spacing w:after="0"/>
            </w:pPr>
            <w:r>
              <w:rPr>
                <w:rFonts w:ascii="Arial" w:cs="Arial" w:eastAsia="Arial" w:hAnsi="Arial"/>
                <w:color w:val="555555"/>
                <w:sz w:val="20"/>
                <w:szCs w:val="20"/>
              </w:rPr>
              <w:t xml:space="preserve">Language barriers cause measurable harm in healthcare. Authentic cultural-linguistic competence is a direct intervention on health disparities.</w:t>
            </w:r>
          </w:p>
        </w:tc>
        <w:tc>
          <w:tcPr>
            <w:tcW w:type="dxa" w:w="2160"/>
            <w:tcBorders>
              <w:top w:val="single" w:color="CCCCCC" w:sz="1"/>
              <w:left w:val="single" w:color="CCCCCC" w:sz="1"/>
              <w:bottom w:val="single" w:color="CCCCCC" w:sz="1"/>
              <w:right w:val="single" w:color="CCCCCC" w:sz="1"/>
            </w:tcBorders>
            <w:shd w:fill="EAF4F5" w:val="clear"/>
            <w:tcMar>
              <w:top w:type="dxa" w:w="120"/>
              <w:left w:type="dxa" w:w="160"/>
              <w:bottom w:type="dxa" w:w="120"/>
              <w:right w:type="dxa" w:w="160"/>
            </w:tcMar>
          </w:tcPr>
          <w:p>
            <w:pPr>
              <w:spacing w:after="80"/>
            </w:pPr>
            <w:r>
              <w:rPr>
                <w:rFonts w:ascii="Arial" w:cs="Arial" w:eastAsia="Arial" w:hAnsi="Arial"/>
                <w:b/>
                <w:bCs/>
                <w:color w:val="1A6B72"/>
                <w:sz w:val="22"/>
                <w:szCs w:val="22"/>
              </w:rPr>
              <w:t xml:space="preserve">03. Free Access</w:t>
            </w:r>
          </w:p>
          <w:p>
            <w:pPr>
              <w:spacing w:after="0"/>
            </w:pPr>
            <w:r>
              <w:rPr>
                <w:rFonts w:ascii="Arial" w:cs="Arial" w:eastAsia="Arial" w:hAnsi="Arial"/>
                <w:color w:val="555555"/>
                <w:sz w:val="20"/>
                <w:szCs w:val="20"/>
              </w:rPr>
              <w:t xml:space="preserve">No paywalls. Every resource, course, and program MSC offers is free — because language access is a right, not a privilege.</w:t>
            </w:r>
          </w:p>
        </w:tc>
        <w:tc>
          <w:tcPr>
            <w:tcW w:type="dxa" w:w="2160"/>
            <w:tcBorders>
              <w:top w:val="single" w:color="CCCCCC" w:sz="1"/>
              <w:left w:val="single" w:color="CCCCCC" w:sz="1"/>
              <w:bottom w:val="single" w:color="CCCCCC" w:sz="1"/>
              <w:right w:val="single" w:color="CCCCCC" w:sz="1"/>
            </w:tcBorders>
            <w:shd w:fill="EAF4F5" w:val="clear"/>
            <w:tcMar>
              <w:top w:type="dxa" w:w="120"/>
              <w:left w:type="dxa" w:w="160"/>
              <w:bottom w:type="dxa" w:w="120"/>
              <w:right w:type="dxa" w:w="160"/>
            </w:tcMar>
          </w:tcPr>
          <w:p>
            <w:pPr>
              <w:spacing w:after="80"/>
            </w:pPr>
            <w:r>
              <w:rPr>
                <w:rFonts w:ascii="Arial" w:cs="Arial" w:eastAsia="Arial" w:hAnsi="Arial"/>
                <w:b/>
                <w:bCs/>
                <w:color w:val="1A6B72"/>
                <w:sz w:val="22"/>
                <w:szCs w:val="22"/>
              </w:rPr>
              <w:t xml:space="preserve">04. Community</w:t>
            </w:r>
          </w:p>
          <w:p>
            <w:pPr>
              <w:spacing w:after="0"/>
            </w:pPr>
            <w:r>
              <w:rPr>
                <w:rFonts w:ascii="Arial" w:cs="Arial" w:eastAsia="Arial" w:hAnsi="Arial"/>
                <w:color w:val="555555"/>
                <w:sz w:val="20"/>
                <w:szCs w:val="20"/>
              </w:rPr>
              <w:t xml:space="preserve">Language is learned and lived in community. MSC builds spaces for learners to practice, collaborate, and serve together.</w:t>
            </w:r>
          </w:p>
        </w:tc>
      </w:tr>
    </w:tbl>
    <w:p>
      <w:pPr>
        <w:pStyle w:val="Heading2"/>
        <w:spacing w:after="120" w:before="320"/>
      </w:pPr>
      <w:r>
        <w:rPr>
          <w:rFonts w:ascii="Arial" w:cs="Arial" w:eastAsia="Arial" w:hAnsi="Arial"/>
          <w:b/>
          <w:bCs/>
          <w:color w:val="1A6B72"/>
          <w:sz w:val="28"/>
          <w:szCs w:val="28"/>
        </w:rPr>
        <w:t xml:space="preserve">Brand Voice</w:t>
      </w:r>
    </w:p>
    <w:p>
      <w:pPr>
        <w:pStyle w:val="ListParagraph"/>
        <w:numPr>
          <w:ilvl w:val="0"/>
          <w:numId w:val="2"/>
        </w:numPr>
        <w:spacing w:after="40" w:before="40"/>
      </w:pPr>
      <w:r>
        <w:rPr>
          <w:rFonts w:ascii="Arial" w:cs="Arial" w:eastAsia="Arial" w:hAnsi="Arial"/>
          <w:sz w:val="22"/>
          <w:szCs w:val="22"/>
        </w:rPr>
        <w:t xml:space="preserve">Direct and confident — not cautious, not overly academic</w:t>
      </w:r>
    </w:p>
    <w:p>
      <w:pPr>
        <w:pStyle w:val="ListParagraph"/>
        <w:numPr>
          <w:ilvl w:val="0"/>
          <w:numId w:val="2"/>
        </w:numPr>
        <w:spacing w:after="40" w:before="40"/>
      </w:pPr>
      <w:r>
        <w:rPr>
          <w:rFonts w:ascii="Arial" w:cs="Arial" w:eastAsia="Arial" w:hAnsi="Arial"/>
          <w:sz w:val="22"/>
          <w:szCs w:val="22"/>
        </w:rPr>
        <w:t xml:space="preserve">Warm and communal — this is about belonging, not just learning</w:t>
      </w:r>
    </w:p>
    <w:p>
      <w:pPr>
        <w:pStyle w:val="ListParagraph"/>
        <w:numPr>
          <w:ilvl w:val="0"/>
          <w:numId w:val="2"/>
        </w:numPr>
        <w:spacing w:after="40" w:before="40"/>
      </w:pPr>
      <w:r>
        <w:rPr>
          <w:rFonts w:ascii="Arial" w:cs="Arial" w:eastAsia="Arial" w:hAnsi="Arial"/>
          <w:sz w:val="22"/>
          <w:szCs w:val="22"/>
        </w:rPr>
        <w:t xml:space="preserve">Purposeful — every piece of copy should connect to real-world impact</w:t>
      </w:r>
    </w:p>
    <w:p>
      <w:pPr>
        <w:pStyle w:val="ListParagraph"/>
        <w:numPr>
          <w:ilvl w:val="0"/>
          <w:numId w:val="2"/>
        </w:numPr>
        <w:spacing w:after="40" w:before="40"/>
      </w:pPr>
      <w:r>
        <w:rPr>
          <w:rFonts w:ascii="Arial" w:cs="Arial" w:eastAsia="Arial" w:hAnsi="Arial"/>
          <w:sz w:val="22"/>
          <w:szCs w:val="22"/>
        </w:rPr>
        <w:t xml:space="preserve">Accessible — same voice for learners, donors, and partners</w:t>
      </w:r>
    </w:p>
    <w:p>
      <w:pPr>
        <w:spacing w:after="80"/>
      </w:pPr>
    </w:p>
    <w:p>
      <w:pPr>
        <w:spacing w:after="100" w:before="60"/>
      </w:pPr>
      <w:r>
        <w:rPr>
          <w:rFonts w:ascii="Arial" w:cs="Arial" w:eastAsia="Arial" w:hAnsi="Arial"/>
          <w:b w:val="false"/>
          <w:bCs w:val="false"/>
          <w:i/>
          <w:iCs/>
          <w:color w:val="1C1C1E"/>
          <w:sz w:val="22"/>
          <w:szCs w:val="22"/>
        </w:rPr>
        <w:t xml:space="preserve">Avoid: corporate nonprofit-speak ("leveraging synergies," "impactful programming"), excessive hedging, generic phrases like "education for everyone" or "empowering learners."</w:t>
      </w:r>
    </w:p>
    <w:p>
      <w:pPr>
        <w:pStyle w:val="Heading2"/>
        <w:spacing w:after="120" w:before="320"/>
      </w:pPr>
      <w:r>
        <w:rPr>
          <w:rFonts w:ascii="Arial" w:cs="Arial" w:eastAsia="Arial" w:hAnsi="Arial"/>
          <w:b/>
          <w:bCs/>
          <w:color w:val="1A6B72"/>
          <w:sz w:val="28"/>
          <w:szCs w:val="28"/>
        </w:rPr>
        <w:t xml:space="preserve">Design Direction</w:t>
      </w:r>
    </w:p>
    <w:p>
      <w:pPr>
        <w:spacing w:after="100" w:before="60"/>
      </w:pPr>
      <w:r>
        <w:rPr>
          <w:rFonts w:ascii="Arial" w:cs="Arial" w:eastAsia="Arial" w:hAnsi="Arial"/>
          <w:b w:val="false"/>
          <w:bCs w:val="false"/>
          <w:i w:val="false"/>
          <w:iCs w:val="false"/>
          <w:color w:val="1C1C1E"/>
          <w:sz w:val="22"/>
          <w:szCs w:val="22"/>
        </w:rPr>
        <w:t xml:space="preserve">Color palette (suggested):</w:t>
      </w:r>
    </w:p>
    <w:p>
      <w:pPr>
        <w:pStyle w:val="ListParagraph"/>
        <w:numPr>
          <w:ilvl w:val="0"/>
          <w:numId w:val="2"/>
        </w:numPr>
        <w:spacing w:after="40" w:before="40"/>
      </w:pPr>
      <w:r>
        <w:rPr>
          <w:rFonts w:ascii="Arial" w:cs="Arial" w:eastAsia="Arial" w:hAnsi="Arial"/>
          <w:sz w:val="22"/>
          <w:szCs w:val="22"/>
        </w:rPr>
        <w:t xml:space="preserve">Primary: Deep teal #1A6B72 — trust, health, community</w:t>
      </w:r>
    </w:p>
    <w:p>
      <w:pPr>
        <w:pStyle w:val="ListParagraph"/>
        <w:numPr>
          <w:ilvl w:val="0"/>
          <w:numId w:val="2"/>
        </w:numPr>
        <w:spacing w:after="40" w:before="40"/>
      </w:pPr>
      <w:r>
        <w:rPr>
          <w:rFonts w:ascii="Arial" w:cs="Arial" w:eastAsia="Arial" w:hAnsi="Arial"/>
          <w:sz w:val="22"/>
          <w:szCs w:val="22"/>
        </w:rPr>
        <w:t xml:space="preserve">Accent: Warm amber #E8A020 — energy, warmth, accessibility</w:t>
      </w:r>
    </w:p>
    <w:p>
      <w:pPr>
        <w:pStyle w:val="ListParagraph"/>
        <w:numPr>
          <w:ilvl w:val="0"/>
          <w:numId w:val="2"/>
        </w:numPr>
        <w:spacing w:after="40" w:before="40"/>
      </w:pPr>
      <w:r>
        <w:rPr>
          <w:rFonts w:ascii="Arial" w:cs="Arial" w:eastAsia="Arial" w:hAnsi="Arial"/>
          <w:sz w:val="22"/>
          <w:szCs w:val="22"/>
        </w:rPr>
        <w:t xml:space="preserve">Secondary: Soft coral #E05C4B — urgency, passion</w:t>
      </w:r>
    </w:p>
    <w:p>
      <w:pPr>
        <w:pStyle w:val="ListParagraph"/>
        <w:numPr>
          <w:ilvl w:val="0"/>
          <w:numId w:val="2"/>
        </w:numPr>
        <w:spacing w:after="40" w:before="40"/>
      </w:pPr>
      <w:r>
        <w:rPr>
          <w:rFonts w:ascii="Arial" w:cs="Arial" w:eastAsia="Arial" w:hAnsi="Arial"/>
          <w:sz w:val="22"/>
          <w:szCs w:val="22"/>
        </w:rPr>
        <w:t xml:space="preserve">Neutral: Off-white #F8F6F1 and dark charcoal #1C1C1E</w:t>
      </w:r>
    </w:p>
    <w:p>
      <w:pPr>
        <w:spacing w:after="80"/>
      </w:pPr>
    </w:p>
    <w:p>
      <w:pPr>
        <w:spacing w:after="100" w:before="60"/>
      </w:pPr>
      <w:r>
        <w:rPr>
          <w:rFonts w:ascii="Arial" w:cs="Arial" w:eastAsia="Arial" w:hAnsi="Arial"/>
          <w:b w:val="false"/>
          <w:bCs w:val="false"/>
          <w:i w:val="false"/>
          <w:iCs w:val="false"/>
          <w:color w:val="1C1C1E"/>
          <w:sz w:val="22"/>
          <w:szCs w:val="22"/>
        </w:rPr>
        <w:t xml:space="preserve">Set new palette in Elementor → Site Settings → Global Colors so changes propagate site-wide.</w:t>
      </w:r>
    </w:p>
    <w:p>
      <w:pPr>
        <w:spacing w:after="80"/>
      </w:pPr>
    </w:p>
    <w:p>
      <w:pPr>
        <w:spacing w:after="100" w:before="60"/>
      </w:pPr>
      <w:r>
        <w:rPr>
          <w:rFonts w:ascii="Arial" w:cs="Arial" w:eastAsia="Arial" w:hAnsi="Arial"/>
          <w:b w:val="false"/>
          <w:bCs w:val="false"/>
          <w:i w:val="false"/>
          <w:iCs w:val="false"/>
          <w:color w:val="1C1C1E"/>
          <w:sz w:val="22"/>
          <w:szCs w:val="22"/>
        </w:rPr>
        <w:t xml:space="preserve">Typography: Clean sans-serif (Inter, DM Sans, or similar). Minimum 16px body text. Avoid the current site's conflicting font weights.</w:t>
      </w:r>
    </w:p>
    <w:p>
      <w:pPr>
        <w:spacing w:after="80"/>
      </w:pPr>
    </w:p>
    <w:p>
      <w:pPr>
        <w:spacing w:after="100" w:before="60"/>
      </w:pPr>
      <w:r>
        <w:rPr>
          <w:rFonts w:ascii="Arial" w:cs="Arial" w:eastAsia="Arial" w:hAnsi="Arial"/>
          <w:b w:val="false"/>
          <w:bCs w:val="false"/>
          <w:i w:val="false"/>
          <w:iCs w:val="false"/>
          <w:color w:val="1C1C1E"/>
          <w:sz w:val="22"/>
          <w:szCs w:val="22"/>
        </w:rPr>
        <w:t xml:space="preserve">Logo: Keep existing MSC logo. Update the subtitle beneath it from "501(c)3 Non-Profit Organization that Celebrates Spanish Slang and Culture" to "Language Access | 501(c)3 Nonprofit."</w:t>
      </w:r>
    </w:p>
    <w:p>
      <w:pPr>
        <w:pBdr>
          <w:bottom w:val="single" w:color="DDDDDD" w:sz="4" w:space="2"/>
        </w:pBdr>
        <w:spacing w:after="200" w:before="200"/>
      </w:pPr>
    </w:p>
    <w:p>
      <w:pPr>
        <w:pStyle w:val="Heading1"/>
        <w:pBdr>
          <w:bottom w:val="single" w:color="1A6B72" w:sz="6" w:space="4"/>
        </w:pBdr>
        <w:spacing w:after="160" w:before="400"/>
      </w:pPr>
      <w:r>
        <w:rPr>
          <w:rFonts w:ascii="Arial" w:cs="Arial" w:eastAsia="Arial" w:hAnsi="Arial"/>
          <w:b/>
          <w:bCs/>
          <w:color w:val="1A6B72"/>
          <w:sz w:val="36"/>
          <w:szCs w:val="36"/>
        </w:rPr>
        <w:t xml:space="preserve">Part 2: Program Architecture</w:t>
      </w:r>
    </w:p>
    <w:p>
      <w:pPr>
        <w:spacing w:after="100" w:before="60"/>
      </w:pPr>
      <w:r>
        <w:rPr>
          <w:rFonts w:ascii="Arial" w:cs="Arial" w:eastAsia="Arial" w:hAnsi="Arial"/>
          <w:b w:val="false"/>
          <w:bCs w:val="false"/>
          <w:i w:val="false"/>
          <w:iCs w:val="false"/>
          <w:color w:val="1C1C1E"/>
          <w:sz w:val="22"/>
          <w:szCs w:val="22"/>
        </w:rPr>
        <w:t xml:space="preserve">MSC operates three programs, each with its own page on the website.</w:t>
      </w:r>
    </w:p>
    <w:p>
      <w:pPr>
        <w:pStyle w:val="Heading2"/>
        <w:spacing w:after="120" w:before="320"/>
      </w:pPr>
      <w:r>
        <w:rPr>
          <w:rFonts w:ascii="Arial" w:cs="Arial" w:eastAsia="Arial" w:hAnsi="Arial"/>
          <w:b/>
          <w:bCs/>
          <w:color w:val="1A6B72"/>
          <w:sz w:val="28"/>
          <w:szCs w:val="28"/>
        </w:rPr>
        <w:t xml:space="preserve">Program 1: Community Learning Platform</w:t>
      </w:r>
    </w:p>
    <w:p>
      <w:pPr>
        <w:spacing w:after="100" w:before="60"/>
      </w:pPr>
      <w:r>
        <w:rPr>
          <w:rFonts w:ascii="Arial" w:cs="Arial" w:eastAsia="Arial" w:hAnsi="Arial"/>
          <w:b/>
          <w:bCs/>
          <w:i w:val="false"/>
          <w:iCs w:val="false"/>
          <w:color w:val="555555"/>
          <w:sz w:val="22"/>
          <w:szCs w:val="22"/>
        </w:rPr>
        <w:t xml:space="preserve">Free, accessible Spanish education for all learners</w:t>
      </w:r>
    </w:p>
    <w:p>
      <w:pPr>
        <w:spacing w:after="80"/>
      </w:pPr>
    </w:p>
    <w:p>
      <w:pPr>
        <w:spacing w:after="100" w:before="60"/>
      </w:pPr>
      <w:r>
        <w:rPr>
          <w:rFonts w:ascii="Arial" w:cs="Arial" w:eastAsia="Arial" w:hAnsi="Arial"/>
          <w:b w:val="false"/>
          <w:bCs w:val="false"/>
          <w:i w:val="false"/>
          <w:iCs w:val="false"/>
          <w:color w:val="1C1C1E"/>
          <w:sz w:val="22"/>
          <w:szCs w:val="22"/>
        </w:rPr>
        <w:t xml:space="preserve">The original MSC platform, reframed. Free courses, resource library, slang guides, and community spaces for anyone who wants to learn authentic, conversational Spanish. Focus on slang, cultural context, and real-world communication — not grammar drills.</w:t>
      </w:r>
    </w:p>
    <w:p>
      <w:pPr>
        <w:spacing w:after="80"/>
      </w:pPr>
    </w:p>
    <w:p>
      <w:pPr>
        <w:spacing w:after="100" w:before="60"/>
      </w:pPr>
      <w:r>
        <w:rPr>
          <w:rFonts w:ascii="Arial" w:cs="Arial" w:eastAsia="Arial" w:hAnsi="Arial"/>
          <w:b/>
          <w:bCs/>
          <w:i w:val="false"/>
          <w:iCs w:val="false"/>
          <w:color w:val="1C1C1E"/>
          <w:sz w:val="22"/>
          <w:szCs w:val="22"/>
        </w:rPr>
        <w:t xml:space="preserve">Who it serves:</w:t>
      </w:r>
    </w:p>
    <w:p>
      <w:pPr>
        <w:pStyle w:val="ListParagraph"/>
        <w:numPr>
          <w:ilvl w:val="0"/>
          <w:numId w:val="2"/>
        </w:numPr>
        <w:spacing w:after="40" w:before="40"/>
      </w:pPr>
      <w:r>
        <w:rPr>
          <w:rFonts w:ascii="Arial" w:cs="Arial" w:eastAsia="Arial" w:hAnsi="Arial"/>
          <w:sz w:val="22"/>
          <w:szCs w:val="22"/>
        </w:rPr>
        <w:t xml:space="preserve">General learners</w:t>
      </w:r>
    </w:p>
    <w:p>
      <w:pPr>
        <w:pStyle w:val="ListParagraph"/>
        <w:numPr>
          <w:ilvl w:val="0"/>
          <w:numId w:val="2"/>
        </w:numPr>
        <w:spacing w:after="40" w:before="40"/>
      </w:pPr>
      <w:r>
        <w:rPr>
          <w:rFonts w:ascii="Arial" w:cs="Arial" w:eastAsia="Arial" w:hAnsi="Arial"/>
          <w:sz w:val="22"/>
          <w:szCs w:val="22"/>
        </w:rPr>
        <w:t xml:space="preserve">Heritage speakers reconnecting with their language</w:t>
      </w:r>
    </w:p>
    <w:p>
      <w:pPr>
        <w:pStyle w:val="ListParagraph"/>
        <w:numPr>
          <w:ilvl w:val="0"/>
          <w:numId w:val="2"/>
        </w:numPr>
        <w:spacing w:after="40" w:before="40"/>
      </w:pPr>
      <w:r>
        <w:rPr>
          <w:rFonts w:ascii="Arial" w:cs="Arial" w:eastAsia="Arial" w:hAnsi="Arial"/>
          <w:sz w:val="22"/>
          <w:szCs w:val="22"/>
        </w:rPr>
        <w:t xml:space="preserve">Youth and students</w:t>
      </w:r>
    </w:p>
    <w:p>
      <w:pPr>
        <w:pStyle w:val="ListParagraph"/>
        <w:numPr>
          <w:ilvl w:val="0"/>
          <w:numId w:val="2"/>
        </w:numPr>
        <w:spacing w:after="40" w:before="40"/>
      </w:pPr>
      <w:r>
        <w:rPr>
          <w:rFonts w:ascii="Arial" w:cs="Arial" w:eastAsia="Arial" w:hAnsi="Arial"/>
          <w:sz w:val="22"/>
          <w:szCs w:val="22"/>
        </w:rPr>
        <w:t xml:space="preserve">Anyone priced out of traditional language instruction</w:t>
      </w:r>
    </w:p>
    <w:p>
      <w:pPr>
        <w:spacing w:after="80"/>
      </w:pPr>
    </w:p>
    <w:p>
      <w:pPr>
        <w:spacing w:after="100" w:before="60"/>
      </w:pPr>
      <w:r>
        <w:rPr>
          <w:rFonts w:ascii="Arial" w:cs="Arial" w:eastAsia="Arial" w:hAnsi="Arial"/>
          <w:b w:val="false"/>
          <w:bCs w:val="false"/>
          <w:i w:val="false"/>
          <w:iCs w:val="false"/>
          <w:color w:val="1C1C1E"/>
          <w:sz w:val="22"/>
          <w:szCs w:val="22"/>
        </w:rPr>
        <w:t xml:space="preserve">Content categories: Slang &amp; Street Spanish, Conversational Confidence, Culture &amp; Identity, Foundations of Spanish Slang, Content-Based Spanish, Creative Expression, Spanish in the Digital World, Travel &amp; Survival Spanish</w:t>
      </w:r>
    </w:p>
    <w:p>
      <w:pPr>
        <w:spacing w:after="80"/>
      </w:pPr>
    </w:p>
    <w:p>
      <w:pPr>
        <w:spacing w:after="100" w:before="60"/>
      </w:pPr>
      <w:r>
        <w:rPr>
          <w:rFonts w:ascii="Arial" w:cs="Arial" w:eastAsia="Arial" w:hAnsi="Arial"/>
          <w:b w:val="false"/>
          <w:bCs w:val="false"/>
          <w:i w:val="false"/>
          <w:iCs w:val="false"/>
          <w:color w:val="1C1C1E"/>
          <w:sz w:val="22"/>
          <w:szCs w:val="22"/>
        </w:rPr>
        <w:t xml:space="preserve">Mission connection: This is the access layer — breaking down cost and cultural barriers to authentic Spanish learning.</w:t>
      </w:r>
    </w:p>
    <w:p>
      <w:pPr>
        <w:pStyle w:val="Heading2"/>
        <w:spacing w:after="120" w:before="320"/>
      </w:pPr>
      <w:r>
        <w:rPr>
          <w:rFonts w:ascii="Arial" w:cs="Arial" w:eastAsia="Arial" w:hAnsi="Arial"/>
          <w:b/>
          <w:bCs/>
          <w:color w:val="1A6B72"/>
          <w:sz w:val="28"/>
          <w:szCs w:val="28"/>
        </w:rPr>
        <w:t xml:space="preserve">Program 2: Healthcare Spanish Initiative</w:t>
      </w:r>
    </w:p>
    <w:p>
      <w:pPr>
        <w:spacing w:after="100" w:before="60"/>
      </w:pPr>
      <w:r>
        <w:rPr>
          <w:rFonts w:ascii="Arial" w:cs="Arial" w:eastAsia="Arial" w:hAnsi="Arial"/>
          <w:b/>
          <w:bCs/>
          <w:i w:val="false"/>
          <w:iCs w:val="false"/>
          <w:color w:val="555555"/>
          <w:sz w:val="22"/>
          <w:szCs w:val="22"/>
        </w:rPr>
        <w:t xml:space="preserve">Authentic Spanish training for pre-health students, providers, and community health workers</w:t>
      </w:r>
    </w:p>
    <w:p>
      <w:pPr>
        <w:spacing w:after="80"/>
      </w:pPr>
    </w:p>
    <w:p>
      <w:pPr>
        <w:spacing w:after="100" w:before="60"/>
      </w:pPr>
      <w:r>
        <w:rPr>
          <w:rFonts w:ascii="Arial" w:cs="Arial" w:eastAsia="Arial" w:hAnsi="Arial"/>
          <w:b w:val="false"/>
          <w:bCs w:val="false"/>
          <w:i w:val="false"/>
          <w:iCs w:val="false"/>
          <w:color w:val="1C1C1E"/>
          <w:sz w:val="22"/>
          <w:szCs w:val="22"/>
        </w:rPr>
        <w:t xml:space="preserve">A free training track for people entering or working in healthcare who need to communicate authentically — not just literally — with Spanish-speaking patients. Most medical Spanish programs teach vocabulary and miss the cultural layer that determines whether patients feel heard and understood. MSC's approach addresses that gap, informed by language acquisition research on how colloquialisms affect communication and cognition.</w:t>
      </w:r>
    </w:p>
    <w:p>
      <w:pPr>
        <w:spacing w:after="80"/>
      </w:pPr>
    </w:p>
    <w:p>
      <w:pPr>
        <w:spacing w:after="100" w:before="60"/>
      </w:pPr>
      <w:r>
        <w:rPr>
          <w:rFonts w:ascii="Arial" w:cs="Arial" w:eastAsia="Arial" w:hAnsi="Arial"/>
          <w:b/>
          <w:bCs/>
          <w:i w:val="false"/>
          <w:iCs w:val="false"/>
          <w:color w:val="1C1C1E"/>
          <w:sz w:val="22"/>
          <w:szCs w:val="22"/>
        </w:rPr>
        <w:t xml:space="preserve">Who it serves:</w:t>
      </w:r>
    </w:p>
    <w:p>
      <w:pPr>
        <w:pStyle w:val="ListParagraph"/>
        <w:numPr>
          <w:ilvl w:val="0"/>
          <w:numId w:val="2"/>
        </w:numPr>
        <w:spacing w:after="40" w:before="40"/>
      </w:pPr>
      <w:r>
        <w:rPr>
          <w:rFonts w:ascii="Arial" w:cs="Arial" w:eastAsia="Arial" w:hAnsi="Arial"/>
          <w:sz w:val="22"/>
          <w:szCs w:val="22"/>
        </w:rPr>
        <w:t xml:space="preserve">Pre-med, pre-nursing, and pre-health students (high school and college)</w:t>
      </w:r>
    </w:p>
    <w:p>
      <w:pPr>
        <w:pStyle w:val="ListParagraph"/>
        <w:numPr>
          <w:ilvl w:val="0"/>
          <w:numId w:val="2"/>
        </w:numPr>
        <w:spacing w:after="40" w:before="40"/>
      </w:pPr>
      <w:r>
        <w:rPr>
          <w:rFonts w:ascii="Arial" w:cs="Arial" w:eastAsia="Arial" w:hAnsi="Arial"/>
          <w:sz w:val="22"/>
          <w:szCs w:val="22"/>
        </w:rPr>
        <w:t xml:space="preserve">Medical and nursing students seeking expanded cultural competence</w:t>
      </w:r>
    </w:p>
    <w:p>
      <w:pPr>
        <w:pStyle w:val="ListParagraph"/>
        <w:numPr>
          <w:ilvl w:val="0"/>
          <w:numId w:val="2"/>
        </w:numPr>
        <w:spacing w:after="40" w:before="40"/>
      </w:pPr>
      <w:r>
        <w:rPr>
          <w:rFonts w:ascii="Arial" w:cs="Arial" w:eastAsia="Arial" w:hAnsi="Arial"/>
          <w:sz w:val="22"/>
          <w:szCs w:val="22"/>
        </w:rPr>
        <w:t xml:space="preserve">Community health workers and patient navigators</w:t>
      </w:r>
    </w:p>
    <w:p>
      <w:pPr>
        <w:pStyle w:val="ListParagraph"/>
        <w:numPr>
          <w:ilvl w:val="0"/>
          <w:numId w:val="2"/>
        </w:numPr>
        <w:spacing w:after="40" w:before="40"/>
      </w:pPr>
      <w:r>
        <w:rPr>
          <w:rFonts w:ascii="Arial" w:cs="Arial" w:eastAsia="Arial" w:hAnsi="Arial"/>
          <w:sz w:val="22"/>
          <w:szCs w:val="22"/>
        </w:rPr>
        <w:t xml:space="preserve">Medical interpreters and healthcare volunteers</w:t>
      </w:r>
    </w:p>
    <w:p>
      <w:pPr>
        <w:pStyle w:val="ListParagraph"/>
        <w:numPr>
          <w:ilvl w:val="0"/>
          <w:numId w:val="2"/>
        </w:numPr>
        <w:spacing w:after="40" w:before="40"/>
      </w:pPr>
      <w:r>
        <w:rPr>
          <w:rFonts w:ascii="Arial" w:cs="Arial" w:eastAsia="Arial" w:hAnsi="Arial"/>
          <w:sz w:val="22"/>
          <w:szCs w:val="22"/>
        </w:rPr>
        <w:t xml:space="preserve">Practicing providers seeking continuing education in cultural communication</w:t>
      </w:r>
    </w:p>
    <w:p>
      <w:pPr>
        <w:spacing w:after="80"/>
      </w:pPr>
    </w:p>
    <w:p>
      <w:pPr>
        <w:spacing w:after="100" w:before="60"/>
      </w:pPr>
      <w:r>
        <w:rPr>
          <w:rFonts w:ascii="Arial" w:cs="Arial" w:eastAsia="Arial" w:hAnsi="Arial"/>
          <w:b/>
          <w:bCs/>
          <w:i w:val="false"/>
          <w:iCs w:val="false"/>
          <w:color w:val="1C1C1E"/>
          <w:sz w:val="22"/>
          <w:szCs w:val="22"/>
        </w:rPr>
        <w:t xml:space="preserve">The problem this program addresses:</w:t>
      </w:r>
    </w:p>
    <w:p>
      <w:pPr>
        <w:pStyle w:val="ListParagraph"/>
        <w:numPr>
          <w:ilvl w:val="0"/>
          <w:numId w:val="2"/>
        </w:numPr>
        <w:spacing w:after="40" w:before="40"/>
      </w:pPr>
      <w:r>
        <w:rPr>
          <w:rFonts w:ascii="Arial" w:cs="Arial" w:eastAsia="Arial" w:hAnsi="Arial"/>
          <w:sz w:val="22"/>
          <w:szCs w:val="22"/>
        </w:rPr>
        <w:t xml:space="preserve">~25 million people in the U.S. have limited English proficiency</w:t>
      </w:r>
    </w:p>
    <w:p>
      <w:pPr>
        <w:pStyle w:val="ListParagraph"/>
        <w:numPr>
          <w:ilvl w:val="0"/>
          <w:numId w:val="2"/>
        </w:numPr>
        <w:spacing w:after="40" w:before="40"/>
      </w:pPr>
      <w:r>
        <w:rPr>
          <w:rFonts w:ascii="Arial" w:cs="Arial" w:eastAsia="Arial" w:hAnsi="Arial"/>
          <w:sz w:val="22"/>
          <w:szCs w:val="22"/>
        </w:rPr>
        <w:t xml:space="preserve">Spanish is the most common non-English language spoken at home in the U.S.</w:t>
      </w:r>
    </w:p>
    <w:p>
      <w:pPr>
        <w:pStyle w:val="ListParagraph"/>
        <w:numPr>
          <w:ilvl w:val="0"/>
          <w:numId w:val="2"/>
        </w:numPr>
        <w:spacing w:after="40" w:before="40"/>
      </w:pPr>
      <w:r>
        <w:rPr>
          <w:rFonts w:ascii="Arial" w:cs="Arial" w:eastAsia="Arial" w:hAnsi="Arial"/>
          <w:sz w:val="22"/>
          <w:szCs w:val="22"/>
        </w:rPr>
        <w:t xml:space="preserve">Patients with limited English proficiency face significantly higher rates of adverse clinical events and medical errors</w:t>
      </w:r>
    </w:p>
    <w:p>
      <w:pPr>
        <w:pStyle w:val="ListParagraph"/>
        <w:numPr>
          <w:ilvl w:val="0"/>
          <w:numId w:val="2"/>
        </w:numPr>
        <w:spacing w:after="40" w:before="40"/>
      </w:pPr>
      <w:r>
        <w:rPr>
          <w:rFonts w:ascii="Arial" w:cs="Arial" w:eastAsia="Arial" w:hAnsi="Arial"/>
          <w:sz w:val="22"/>
          <w:szCs w:val="22"/>
        </w:rPr>
        <w:t xml:space="preserve">Fewer than 13% of U.S. physicians report proficiency in a second language</w:t>
      </w:r>
    </w:p>
    <w:p>
      <w:pPr>
        <w:pStyle w:val="ListParagraph"/>
        <w:numPr>
          <w:ilvl w:val="0"/>
          <w:numId w:val="2"/>
        </w:numPr>
        <w:spacing w:after="40" w:before="40"/>
      </w:pPr>
      <w:r>
        <w:rPr>
          <w:rFonts w:ascii="Arial" w:cs="Arial" w:eastAsia="Arial" w:hAnsi="Arial"/>
          <w:sz w:val="22"/>
          <w:szCs w:val="22"/>
        </w:rPr>
        <w:t xml:space="preserve">Most medical Spanish curricula teach anatomical vocabulary — not the colloquial, cultural, community-specific language that determines whether patients feel safe</w:t>
      </w:r>
    </w:p>
    <w:p>
      <w:pPr>
        <w:spacing w:after="80"/>
      </w:pPr>
    </w:p>
    <w:p>
      <w:pPr>
        <w:spacing w:after="100" w:before="60"/>
      </w:pPr>
      <w:r>
        <w:rPr>
          <w:rFonts w:ascii="Arial" w:cs="Arial" w:eastAsia="Arial" w:hAnsi="Arial"/>
          <w:b/>
          <w:bCs/>
          <w:i w:val="false"/>
          <w:iCs w:val="false"/>
          <w:color w:val="1C1C1E"/>
          <w:sz w:val="22"/>
          <w:szCs w:val="22"/>
        </w:rPr>
        <w:t xml:space="preserve">Curriculum areas:</w:t>
      </w:r>
    </w:p>
    <w:p>
      <w:pPr>
        <w:pStyle w:val="ListParagraph"/>
        <w:numPr>
          <w:ilvl w:val="0"/>
          <w:numId w:val="2"/>
        </w:numPr>
        <w:spacing w:after="40" w:before="40"/>
      </w:pPr>
      <w:r>
        <w:rPr>
          <w:rFonts w:ascii="Arial" w:cs="Arial" w:eastAsia="Arial" w:hAnsi="Arial"/>
          <w:sz w:val="22"/>
          <w:szCs w:val="22"/>
        </w:rPr>
        <w:t xml:space="preserve">Foundations: Colloquial vs. clinical Spanish and why it matters</w:t>
      </w:r>
    </w:p>
    <w:p>
      <w:pPr>
        <w:pStyle w:val="ListParagraph"/>
        <w:numPr>
          <w:ilvl w:val="0"/>
          <w:numId w:val="2"/>
        </w:numPr>
        <w:spacing w:after="40" w:before="40"/>
      </w:pPr>
      <w:r>
        <w:rPr>
          <w:rFonts w:ascii="Arial" w:cs="Arial" w:eastAsia="Arial" w:hAnsi="Arial"/>
          <w:sz w:val="22"/>
          <w:szCs w:val="22"/>
        </w:rPr>
        <w:t xml:space="preserve">Patient communication: Intake, history-taking, informed consent in natural language</w:t>
      </w:r>
    </w:p>
    <w:p>
      <w:pPr>
        <w:pStyle w:val="ListParagraph"/>
        <w:numPr>
          <w:ilvl w:val="0"/>
          <w:numId w:val="2"/>
        </w:numPr>
        <w:spacing w:after="40" w:before="40"/>
      </w:pPr>
      <w:r>
        <w:rPr>
          <w:rFonts w:ascii="Arial" w:cs="Arial" w:eastAsia="Arial" w:hAnsi="Arial"/>
          <w:sz w:val="22"/>
          <w:szCs w:val="22"/>
        </w:rPr>
        <w:t xml:space="preserve">Cultural context: Regional variation, health beliefs, family dynamics in clinical settings</w:t>
      </w:r>
    </w:p>
    <w:p>
      <w:pPr>
        <w:pStyle w:val="ListParagraph"/>
        <w:numPr>
          <w:ilvl w:val="0"/>
          <w:numId w:val="2"/>
        </w:numPr>
        <w:spacing w:after="40" w:before="40"/>
      </w:pPr>
      <w:r>
        <w:rPr>
          <w:rFonts w:ascii="Arial" w:cs="Arial" w:eastAsia="Arial" w:hAnsi="Arial"/>
          <w:sz w:val="22"/>
          <w:szCs w:val="22"/>
        </w:rPr>
        <w:t xml:space="preserve">Sensitive conversations: Mental health, reproductive health, end-of-life discussions</w:t>
      </w:r>
    </w:p>
    <w:p>
      <w:pPr>
        <w:pStyle w:val="ListParagraph"/>
        <w:numPr>
          <w:ilvl w:val="0"/>
          <w:numId w:val="2"/>
        </w:numPr>
        <w:spacing w:after="40" w:before="40"/>
      </w:pPr>
      <w:r>
        <w:rPr>
          <w:rFonts w:ascii="Arial" w:cs="Arial" w:eastAsia="Arial" w:hAnsi="Arial"/>
          <w:sz w:val="22"/>
          <w:szCs w:val="22"/>
        </w:rPr>
        <w:t xml:space="preserve">Community navigation: Helping patients access systems and follow care plans</w:t>
      </w:r>
    </w:p>
    <w:p>
      <w:pPr>
        <w:spacing w:after="80"/>
      </w:pPr>
    </w:p>
    <w:p>
      <w:pPr>
        <w:spacing w:after="100" w:before="60"/>
      </w:pPr>
      <w:r>
        <w:rPr>
          <w:rFonts w:ascii="Arial" w:cs="Arial" w:eastAsia="Arial" w:hAnsi="Arial"/>
          <w:b w:val="false"/>
          <w:bCs w:val="false"/>
          <w:i w:val="false"/>
          <w:iCs w:val="false"/>
          <w:color w:val="1C1C1E"/>
          <w:sz w:val="22"/>
          <w:szCs w:val="22"/>
        </w:rPr>
        <w:t xml:space="preserve">Research backing: Informed by Jake Li's research at UW-Madison's LAB Laboratory, his completion of Rice University's Spanish for Successful Communication in Healthcare Settings (A+), and clinical research experience at UT Southwestern Medical Center.</w:t>
      </w:r>
    </w:p>
    <w:p>
      <w:pPr>
        <w:pStyle w:val="Heading2"/>
        <w:spacing w:after="120" w:before="320"/>
      </w:pPr>
      <w:r>
        <w:rPr>
          <w:rFonts w:ascii="Arial" w:cs="Arial" w:eastAsia="Arial" w:hAnsi="Arial"/>
          <w:b/>
          <w:bCs/>
          <w:color w:val="1A6B72"/>
          <w:sz w:val="28"/>
          <w:szCs w:val="28"/>
        </w:rPr>
        <w:t xml:space="preserve">Program 3: Language Access Advocacy</w:t>
      </w:r>
    </w:p>
    <w:p>
      <w:pPr>
        <w:spacing w:after="100" w:before="60"/>
      </w:pPr>
      <w:r>
        <w:rPr>
          <w:rFonts w:ascii="Arial" w:cs="Arial" w:eastAsia="Arial" w:hAnsi="Arial"/>
          <w:b/>
          <w:bCs/>
          <w:i w:val="false"/>
          <w:iCs w:val="false"/>
          <w:color w:val="555555"/>
          <w:sz w:val="22"/>
          <w:szCs w:val="22"/>
        </w:rPr>
        <w:t xml:space="preserve">Policy, research, and community education on language rights</w:t>
      </w:r>
    </w:p>
    <w:p>
      <w:pPr>
        <w:spacing w:after="80"/>
      </w:pPr>
    </w:p>
    <w:p>
      <w:pPr>
        <w:spacing w:after="100" w:before="60"/>
      </w:pPr>
      <w:r>
        <w:rPr>
          <w:rFonts w:ascii="Arial" w:cs="Arial" w:eastAsia="Arial" w:hAnsi="Arial"/>
          <w:b w:val="false"/>
          <w:bCs w:val="false"/>
          <w:i w:val="false"/>
          <w:iCs w:val="false"/>
          <w:color w:val="1C1C1E"/>
          <w:sz w:val="22"/>
          <w:szCs w:val="22"/>
        </w:rPr>
        <w:t xml:space="preserve">MSC's policy and public education arm. Translates MSC's work into advocacy — pushing for systemic change alongside the individual-level education the other two programs provide.</w:t>
      </w:r>
    </w:p>
    <w:p>
      <w:pPr>
        <w:spacing w:after="80"/>
      </w:pPr>
    </w:p>
    <w:p>
      <w:pPr>
        <w:spacing w:after="100" w:before="60"/>
      </w:pPr>
      <w:r>
        <w:rPr>
          <w:rFonts w:ascii="Arial" w:cs="Arial" w:eastAsia="Arial" w:hAnsi="Arial"/>
          <w:b/>
          <w:bCs/>
          <w:i w:val="false"/>
          <w:iCs w:val="false"/>
          <w:color w:val="1C1C1E"/>
          <w:sz w:val="22"/>
          <w:szCs w:val="22"/>
        </w:rPr>
        <w:t xml:space="preserve">What it does:</w:t>
      </w:r>
    </w:p>
    <w:p>
      <w:pPr>
        <w:pStyle w:val="ListParagraph"/>
        <w:numPr>
          <w:ilvl w:val="0"/>
          <w:numId w:val="2"/>
        </w:numPr>
        <w:spacing w:after="40" w:before="40"/>
      </w:pPr>
      <w:r>
        <w:rPr>
          <w:rFonts w:ascii="Arial" w:cs="Arial" w:eastAsia="Arial" w:hAnsi="Arial"/>
          <w:sz w:val="22"/>
          <w:szCs w:val="22"/>
        </w:rPr>
        <w:t xml:space="preserve">Publishes accessible summaries of research on language barriers in healthcare and education</w:t>
      </w:r>
    </w:p>
    <w:p>
      <w:pPr>
        <w:pStyle w:val="ListParagraph"/>
        <w:numPr>
          <w:ilvl w:val="0"/>
          <w:numId w:val="2"/>
        </w:numPr>
        <w:spacing w:after="40" w:before="40"/>
      </w:pPr>
      <w:r>
        <w:rPr>
          <w:rFonts w:ascii="Arial" w:cs="Arial" w:eastAsia="Arial" w:hAnsi="Arial"/>
          <w:sz w:val="22"/>
          <w:szCs w:val="22"/>
        </w:rPr>
        <w:t xml:space="preserve">Informs communities about language access rights (Title VI, EO 13166, state laws)</w:t>
      </w:r>
    </w:p>
    <w:p>
      <w:pPr>
        <w:pStyle w:val="ListParagraph"/>
        <w:numPr>
          <w:ilvl w:val="0"/>
          <w:numId w:val="2"/>
        </w:numPr>
        <w:spacing w:after="40" w:before="40"/>
      </w:pPr>
      <w:r>
        <w:rPr>
          <w:rFonts w:ascii="Arial" w:cs="Arial" w:eastAsia="Arial" w:hAnsi="Arial"/>
          <w:sz w:val="22"/>
          <w:szCs w:val="22"/>
        </w:rPr>
        <w:t xml:space="preserve">Supports language policy advocacy at local, state, and national levels</w:t>
      </w:r>
    </w:p>
    <w:p>
      <w:pPr>
        <w:pStyle w:val="ListParagraph"/>
        <w:numPr>
          <w:ilvl w:val="0"/>
          <w:numId w:val="2"/>
        </w:numPr>
        <w:spacing w:after="40" w:before="40"/>
      </w:pPr>
      <w:r>
        <w:rPr>
          <w:rFonts w:ascii="Arial" w:cs="Arial" w:eastAsia="Arial" w:hAnsi="Arial"/>
          <w:sz w:val="22"/>
          <w:szCs w:val="22"/>
        </w:rPr>
        <w:t xml:space="preserve">Partners with healthcare systems, schools, and community organizations</w:t>
      </w:r>
    </w:p>
    <w:p>
      <w:pPr>
        <w:spacing w:after="80"/>
      </w:pPr>
    </w:p>
    <w:p>
      <w:pPr>
        <w:spacing w:after="100" w:before="60"/>
      </w:pPr>
      <w:r>
        <w:rPr>
          <w:rFonts w:ascii="Arial" w:cs="Arial" w:eastAsia="Arial" w:hAnsi="Arial"/>
          <w:b/>
          <w:bCs/>
          <w:i w:val="false"/>
          <w:iCs w:val="false"/>
          <w:color w:val="1C1C1E"/>
          <w:sz w:val="22"/>
          <w:szCs w:val="22"/>
        </w:rPr>
        <w:t xml:space="preserve">Legislation MSC supports:</w:t>
      </w:r>
    </w:p>
    <w:p>
      <w:pPr>
        <w:pStyle w:val="ListParagraph"/>
        <w:numPr>
          <w:ilvl w:val="0"/>
          <w:numId w:val="2"/>
        </w:numPr>
        <w:spacing w:after="40" w:before="40"/>
      </w:pPr>
      <w:r>
        <w:rPr>
          <w:rFonts w:ascii="Arial" w:cs="Arial" w:eastAsia="Arial" w:hAnsi="Arial"/>
          <w:sz w:val="22"/>
          <w:szCs w:val="22"/>
        </w:rPr>
        <w:t xml:space="preserve">World Language Advancement and Readiness Act</w:t>
      </w:r>
    </w:p>
    <w:p>
      <w:pPr>
        <w:pStyle w:val="ListParagraph"/>
        <w:numPr>
          <w:ilvl w:val="0"/>
          <w:numId w:val="2"/>
        </w:numPr>
        <w:spacing w:after="40" w:before="40"/>
      </w:pPr>
      <w:r>
        <w:rPr>
          <w:rFonts w:ascii="Arial" w:cs="Arial" w:eastAsia="Arial" w:hAnsi="Arial"/>
          <w:sz w:val="22"/>
          <w:szCs w:val="22"/>
        </w:rPr>
        <w:t xml:space="preserve">Bilingual Education Seal and Teaching Act</w:t>
      </w:r>
    </w:p>
    <w:p>
      <w:pPr>
        <w:pStyle w:val="ListParagraph"/>
        <w:numPr>
          <w:ilvl w:val="0"/>
          <w:numId w:val="2"/>
        </w:numPr>
        <w:spacing w:after="40" w:before="40"/>
      </w:pPr>
      <w:r>
        <w:rPr>
          <w:rFonts w:ascii="Arial" w:cs="Arial" w:eastAsia="Arial" w:hAnsi="Arial"/>
          <w:sz w:val="22"/>
          <w:szCs w:val="22"/>
        </w:rPr>
        <w:t xml:space="preserve">Native American Language Resource Center Act</w:t>
      </w:r>
    </w:p>
    <w:p>
      <w:pPr>
        <w:spacing w:after="80"/>
      </w:pPr>
    </w:p>
    <w:p>
      <w:pPr>
        <w:spacing w:after="100" w:before="60"/>
      </w:pPr>
      <w:r>
        <w:rPr>
          <w:rFonts w:ascii="Arial" w:cs="Arial" w:eastAsia="Arial" w:hAnsi="Arial"/>
          <w:b w:val="false"/>
          <w:bCs w:val="false"/>
          <w:i w:val="false"/>
          <w:iCs w:val="false"/>
          <w:color w:val="1C1C1E"/>
          <w:sz w:val="22"/>
          <w:szCs w:val="22"/>
        </w:rPr>
        <w:t xml:space="preserve">MSC has advocated for these bills at Virtual Language Advocacy Days (2024) and on Capitol Hill (2025, 2026) through NNELL.</w:t>
      </w:r>
    </w:p>
    <w:p>
      <w:pPr>
        <w:pBdr>
          <w:bottom w:val="single" w:color="DDDDDD" w:sz="4" w:space="2"/>
        </w:pBdr>
        <w:spacing w:after="200" w:before="200"/>
      </w:pPr>
    </w:p>
    <w:p>
      <w:pPr>
        <w:pStyle w:val="Heading1"/>
        <w:pBdr>
          <w:bottom w:val="single" w:color="1A6B72" w:sz="6" w:space="4"/>
        </w:pBdr>
        <w:spacing w:after="160" w:before="400"/>
      </w:pPr>
      <w:r>
        <w:rPr>
          <w:rFonts w:ascii="Arial" w:cs="Arial" w:eastAsia="Arial" w:hAnsi="Arial"/>
          <w:b/>
          <w:bCs/>
          <w:color w:val="1A6B72"/>
          <w:sz w:val="36"/>
          <w:szCs w:val="36"/>
        </w:rPr>
        <w:t xml:space="preserve">Part 3: Site Architecture</w:t>
      </w:r>
    </w:p>
    <w:p>
      <w:pPr>
        <w:pStyle w:val="Heading2"/>
        <w:spacing w:after="120" w:before="320"/>
      </w:pPr>
      <w:r>
        <w:rPr>
          <w:rFonts w:ascii="Arial" w:cs="Arial" w:eastAsia="Arial" w:hAnsi="Arial"/>
          <w:b/>
          <w:bCs/>
          <w:color w:val="1A6B72"/>
          <w:sz w:val="28"/>
          <w:szCs w:val="28"/>
        </w:rPr>
        <w:t xml:space="preserve">New Navigation Structure</w:t>
      </w:r>
    </w:p>
    <w:p>
      <w:pPr>
        <w:spacing w:after="100" w:before="60"/>
      </w:pPr>
      <w:r>
        <w:rPr>
          <w:rFonts w:ascii="Arial" w:cs="Arial" w:eastAsia="Arial" w:hAnsi="Arial"/>
          <w:b w:val="false"/>
          <w:bCs w:val="false"/>
          <w:i w:val="false"/>
          <w:iCs w:val="false"/>
          <w:color w:val="1C1C1E"/>
          <w:sz w:val="22"/>
          <w:szCs w:val="22"/>
        </w:rPr>
        <w:t xml:space="preserve">Replace the current navigation (which exposes backend pages like User, Account, Members) with:</w:t>
      </w:r>
    </w:p>
    <w:p>
      <w:pPr>
        <w:spacing w:after="80"/>
      </w:pPr>
    </w:p>
    <w:p>
      <w:pPr>
        <w:spacing w:after="80" w:before="80"/>
        <w:ind w:left="480"/>
      </w:pPr>
      <w:r>
        <w:rPr>
          <w:rFonts w:ascii="Courier New" w:cs="Courier New" w:eastAsia="Courier New" w:hAnsi="Courier New"/>
          <w:b/>
          <w:bCs/>
          <w:color w:val="1A6B72"/>
          <w:sz w:val="24"/>
          <w:szCs w:val="24"/>
        </w:rPr>
        <w:t xml:space="preserve">Home  |  Programs  |  Learn  |  About  |  Donate  |  Partner</w:t>
      </w:r>
    </w:p>
    <w:p>
      <w:pPr>
        <w:spacing w:after="80"/>
      </w:pPr>
    </w:p>
    <w:p>
      <w:pPr>
        <w:spacing w:after="100" w:before="60"/>
      </w:pPr>
      <w:r>
        <w:rPr>
          <w:rFonts w:ascii="Arial" w:cs="Arial" w:eastAsia="Arial" w:hAnsi="Arial"/>
          <w:b w:val="false"/>
          <w:bCs w:val="false"/>
          <w:i w:val="false"/>
          <w:iCs w:val="false"/>
          <w:color w:val="1C1C1E"/>
          <w:sz w:val="22"/>
          <w:szCs w:val="22"/>
        </w:rPr>
        <w:t xml:space="preserve">Programs dropdown: Healthcare Spanish Initiative, Community Learning Platform, Language Access Advocacy</w:t>
      </w:r>
    </w:p>
    <w:p>
      <w:pPr>
        <w:spacing w:after="100" w:before="60"/>
      </w:pPr>
      <w:r>
        <w:rPr>
          <w:rFonts w:ascii="Arial" w:cs="Arial" w:eastAsia="Arial" w:hAnsi="Arial"/>
          <w:b w:val="false"/>
          <w:bCs w:val="false"/>
          <w:i w:val="false"/>
          <w:iCs w:val="false"/>
          <w:color w:val="1C1C1E"/>
          <w:sz w:val="22"/>
          <w:szCs w:val="22"/>
        </w:rPr>
        <w:t xml:space="preserve">Learn dropdown: Courses, Resource Center, Free Registration</w:t>
      </w:r>
    </w:p>
    <w:p>
      <w:pPr>
        <w:spacing w:after="100" w:before="60"/>
      </w:pPr>
      <w:r>
        <w:rPr>
          <w:rFonts w:ascii="Arial" w:cs="Arial" w:eastAsia="Arial" w:hAnsi="Arial"/>
          <w:b w:val="false"/>
          <w:bCs w:val="false"/>
          <w:i w:val="false"/>
          <w:iCs w:val="false"/>
          <w:color w:val="1C1C1E"/>
          <w:sz w:val="22"/>
          <w:szCs w:val="22"/>
        </w:rPr>
        <w:t xml:space="preserve">About dropdown: About MSC, Our Team, Blog, Contact</w:t>
      </w:r>
    </w:p>
    <w:p>
      <w:pPr>
        <w:spacing w:after="100" w:before="60"/>
      </w:pPr>
      <w:r>
        <w:rPr>
          <w:rFonts w:ascii="Arial" w:cs="Arial" w:eastAsia="Arial" w:hAnsi="Arial"/>
          <w:b w:val="false"/>
          <w:bCs w:val="false"/>
          <w:i w:val="false"/>
          <w:iCs w:val="false"/>
          <w:color w:val="1C1C1E"/>
          <w:sz w:val="22"/>
          <w:szCs w:val="22"/>
        </w:rPr>
        <w:t xml:space="preserve">Donate: Direct link to /donations/make-a-donation/</w:t>
      </w:r>
    </w:p>
    <w:p>
      <w:pPr>
        <w:spacing w:after="100" w:before="60"/>
      </w:pPr>
      <w:r>
        <w:rPr>
          <w:rFonts w:ascii="Arial" w:cs="Arial" w:eastAsia="Arial" w:hAnsi="Arial"/>
          <w:b w:val="false"/>
          <w:bCs w:val="false"/>
          <w:i w:val="false"/>
          <w:iCs w:val="false"/>
          <w:color w:val="1C1C1E"/>
          <w:sz w:val="22"/>
          <w:szCs w:val="22"/>
        </w:rPr>
        <w:t xml:space="preserve">Partner: Direct link to /partner/</w:t>
      </w:r>
    </w:p>
    <w:p>
      <w:pPr>
        <w:spacing w:after="80"/>
      </w:pPr>
    </w:p>
    <w:p>
      <w:pPr>
        <w:spacing w:after="100" w:before="60"/>
      </w:pPr>
      <w:r>
        <w:rPr>
          <w:rFonts w:ascii="Arial" w:cs="Arial" w:eastAsia="Arial" w:hAnsi="Arial"/>
          <w:b/>
          <w:bCs/>
          <w:i w:val="false"/>
          <w:iCs w:val="false"/>
          <w:color w:val="1C1C1E"/>
          <w:sz w:val="22"/>
          <w:szCs w:val="22"/>
        </w:rPr>
        <w:t xml:space="preserve">IMPORTANT — Remove entirely from nav: Login, Register, Members, User, Account, Instructor Registration. These should only be accessible via the "Sign In" button or from within the user dashboard.</w:t>
      </w:r>
    </w:p>
    <w:p>
      <w:pPr>
        <w:pStyle w:val="Heading2"/>
        <w:spacing w:after="120" w:before="320"/>
      </w:pPr>
      <w:r>
        <w:rPr>
          <w:rFonts w:ascii="Arial" w:cs="Arial" w:eastAsia="Arial" w:hAnsi="Arial"/>
          <w:b/>
          <w:bCs/>
          <w:color w:val="1A6B72"/>
          <w:sz w:val="28"/>
          <w:szCs w:val="28"/>
        </w:rPr>
        <w:t xml:space="preserve">Pages to Create (New)</w:t>
      </w:r>
    </w:p>
    <w:p>
      <w:pPr>
        <w:pStyle w:val="ListParagraph"/>
        <w:numPr>
          <w:ilvl w:val="0"/>
          <w:numId w:val="2"/>
        </w:numPr>
        <w:spacing w:after="40" w:before="40"/>
      </w:pPr>
      <w:r>
        <w:rPr>
          <w:rFonts w:ascii="Arial" w:cs="Arial" w:eastAsia="Arial" w:hAnsi="Arial"/>
          <w:sz w:val="22"/>
          <w:szCs w:val="22"/>
        </w:rPr>
        <w:t xml:space="preserve">/programs/ — Programs overview page with three program cards</w:t>
      </w:r>
    </w:p>
    <w:p>
      <w:pPr>
        <w:pStyle w:val="ListParagraph"/>
        <w:numPr>
          <w:ilvl w:val="0"/>
          <w:numId w:val="2"/>
        </w:numPr>
        <w:spacing w:after="40" w:before="40"/>
      </w:pPr>
      <w:r>
        <w:rPr>
          <w:rFonts w:ascii="Arial" w:cs="Arial" w:eastAsia="Arial" w:hAnsi="Arial"/>
          <w:sz w:val="22"/>
          <w:szCs w:val="22"/>
        </w:rPr>
        <w:t xml:space="preserve">/healthcare-spanish/ — Healthcare Spanish Initiative full program page</w:t>
      </w:r>
    </w:p>
    <w:p>
      <w:pPr>
        <w:pStyle w:val="ListParagraph"/>
        <w:numPr>
          <w:ilvl w:val="0"/>
          <w:numId w:val="2"/>
        </w:numPr>
        <w:spacing w:after="40" w:before="40"/>
      </w:pPr>
      <w:r>
        <w:rPr>
          <w:rFonts w:ascii="Arial" w:cs="Arial" w:eastAsia="Arial" w:hAnsi="Arial"/>
          <w:sz w:val="22"/>
          <w:szCs w:val="22"/>
        </w:rPr>
        <w:t xml:space="preserve">/advocacy/ — Language Access Advocacy page (or rework /partnerships/)</w:t>
      </w:r>
    </w:p>
    <w:p>
      <w:pPr>
        <w:pStyle w:val="Heading2"/>
        <w:spacing w:after="120" w:before="320"/>
      </w:pPr>
      <w:r>
        <w:rPr>
          <w:rFonts w:ascii="Arial" w:cs="Arial" w:eastAsia="Arial" w:hAnsi="Arial"/>
          <w:b/>
          <w:bCs/>
          <w:color w:val="1A6B72"/>
          <w:sz w:val="28"/>
          <w:szCs w:val="28"/>
        </w:rPr>
        <w:t xml:space="preserve">Pages to Keep and Update</w:t>
      </w:r>
    </w:p>
    <w:p>
      <w:pPr>
        <w:pStyle w:val="ListParagraph"/>
        <w:numPr>
          <w:ilvl w:val="0"/>
          <w:numId w:val="2"/>
        </w:numPr>
        <w:spacing w:after="40" w:before="40"/>
      </w:pPr>
      <w:r>
        <w:rPr>
          <w:rFonts w:ascii="Arial" w:cs="Arial" w:eastAsia="Arial" w:hAnsi="Arial"/>
          <w:sz w:val="22"/>
          <w:szCs w:val="22"/>
        </w:rPr>
        <w:t xml:space="preserve">/ (Home) — Major rewrite per specs below</w:t>
      </w:r>
    </w:p>
    <w:p>
      <w:pPr>
        <w:pStyle w:val="ListParagraph"/>
        <w:numPr>
          <w:ilvl w:val="0"/>
          <w:numId w:val="2"/>
        </w:numPr>
        <w:spacing w:after="40" w:before="40"/>
      </w:pPr>
      <w:r>
        <w:rPr>
          <w:rFonts w:ascii="Arial" w:cs="Arial" w:eastAsia="Arial" w:hAnsi="Arial"/>
          <w:sz w:val="22"/>
          <w:szCs w:val="22"/>
        </w:rPr>
        <w:t xml:space="preserve">/about/ — Consolidate "About MSC" + "About Us" into one page; major rewrite</w:t>
      </w:r>
    </w:p>
    <w:p>
      <w:pPr>
        <w:pStyle w:val="ListParagraph"/>
        <w:numPr>
          <w:ilvl w:val="0"/>
          <w:numId w:val="2"/>
        </w:numPr>
        <w:spacing w:after="40" w:before="40"/>
      </w:pPr>
      <w:r>
        <w:rPr>
          <w:rFonts w:ascii="Arial" w:cs="Arial" w:eastAsia="Arial" w:hAnsi="Arial"/>
          <w:sz w:val="22"/>
          <w:szCs w:val="22"/>
        </w:rPr>
        <w:t xml:space="preserve">/courses/ — Keep; minor content updates</w:t>
      </w:r>
    </w:p>
    <w:p>
      <w:pPr>
        <w:pStyle w:val="ListParagraph"/>
        <w:numPr>
          <w:ilvl w:val="0"/>
          <w:numId w:val="2"/>
        </w:numPr>
        <w:spacing w:after="40" w:before="40"/>
      </w:pPr>
      <w:r>
        <w:rPr>
          <w:rFonts w:ascii="Arial" w:cs="Arial" w:eastAsia="Arial" w:hAnsi="Arial"/>
          <w:sz w:val="22"/>
          <w:szCs w:val="22"/>
        </w:rPr>
        <w:t xml:space="preserve">/resource-center/ — Keep; minor updates</w:t>
      </w:r>
    </w:p>
    <w:p>
      <w:pPr>
        <w:pStyle w:val="ListParagraph"/>
        <w:numPr>
          <w:ilvl w:val="0"/>
          <w:numId w:val="2"/>
        </w:numPr>
        <w:spacing w:after="40" w:before="40"/>
      </w:pPr>
      <w:r>
        <w:rPr>
          <w:rFonts w:ascii="Arial" w:cs="Arial" w:eastAsia="Arial" w:hAnsi="Arial"/>
          <w:sz w:val="22"/>
          <w:szCs w:val="22"/>
        </w:rPr>
        <w:t xml:space="preserve">/donations/make-a-donation/ — Keep as-is</w:t>
      </w:r>
    </w:p>
    <w:p>
      <w:pPr>
        <w:pStyle w:val="ListParagraph"/>
        <w:numPr>
          <w:ilvl w:val="0"/>
          <w:numId w:val="2"/>
        </w:numPr>
        <w:spacing w:after="40" w:before="40"/>
      </w:pPr>
      <w:r>
        <w:rPr>
          <w:rFonts w:ascii="Arial" w:cs="Arial" w:eastAsia="Arial" w:hAnsi="Arial"/>
          <w:sz w:val="22"/>
          <w:szCs w:val="22"/>
        </w:rPr>
        <w:t xml:space="preserve">/contact/ — Keep as-is</w:t>
      </w:r>
    </w:p>
    <w:p>
      <w:pPr>
        <w:pStyle w:val="ListParagraph"/>
        <w:numPr>
          <w:ilvl w:val="0"/>
          <w:numId w:val="2"/>
        </w:numPr>
        <w:spacing w:after="40" w:before="40"/>
      </w:pPr>
      <w:r>
        <w:rPr>
          <w:rFonts w:ascii="Arial" w:cs="Arial" w:eastAsia="Arial" w:hAnsi="Arial"/>
          <w:sz w:val="22"/>
          <w:szCs w:val="22"/>
        </w:rPr>
        <w:t xml:space="preserve">/blogs/ — Keep; delete demo posts</w:t>
      </w:r>
    </w:p>
    <w:p>
      <w:pPr>
        <w:pStyle w:val="Heading2"/>
        <w:spacing w:after="120" w:before="320"/>
      </w:pPr>
      <w:r>
        <w:rPr>
          <w:rFonts w:ascii="Arial" w:cs="Arial" w:eastAsia="Arial" w:hAnsi="Arial"/>
          <w:b/>
          <w:bCs/>
          <w:color w:val="1A6B72"/>
          <w:sz w:val="28"/>
          <w:szCs w:val="28"/>
        </w:rPr>
        <w:t xml:space="preserve">Pages to Consolidate / Redirect</w:t>
      </w:r>
    </w:p>
    <w:p>
      <w:pPr>
        <w:pStyle w:val="ListParagraph"/>
        <w:numPr>
          <w:ilvl w:val="0"/>
          <w:numId w:val="2"/>
        </w:numPr>
        <w:spacing w:after="40" w:before="40"/>
      </w:pPr>
      <w:r>
        <w:rPr>
          <w:rFonts w:ascii="Arial" w:cs="Arial" w:eastAsia="Arial" w:hAnsi="Arial"/>
          <w:sz w:val="22"/>
          <w:szCs w:val="22"/>
        </w:rPr>
        <w:t xml:space="preserve">/about-msc/ → redirect 301 to /about/</w:t>
      </w:r>
    </w:p>
    <w:p>
      <w:pPr>
        <w:pStyle w:val="ListParagraph"/>
        <w:numPr>
          <w:ilvl w:val="0"/>
          <w:numId w:val="2"/>
        </w:numPr>
        <w:spacing w:after="40" w:before="40"/>
      </w:pPr>
      <w:r>
        <w:rPr>
          <w:rFonts w:ascii="Arial" w:cs="Arial" w:eastAsia="Arial" w:hAnsi="Arial"/>
          <w:sz w:val="22"/>
          <w:szCs w:val="22"/>
        </w:rPr>
        <w:t xml:space="preserve">Resource Store / All Products → de-emphasize; fold into Donate or rename "Support Our Work"</w:t>
      </w:r>
    </w:p>
    <w:p>
      <w:pPr>
        <w:pBdr>
          <w:bottom w:val="single" w:color="DDDDDD" w:sz="4" w:space="2"/>
        </w:pBdr>
        <w:spacing w:after="200" w:before="200"/>
      </w:pPr>
    </w:p>
    <w:p>
      <w:pPr>
        <w:pStyle w:val="Heading1"/>
        <w:pBdr>
          <w:bottom w:val="single" w:color="1A6B72" w:sz="6" w:space="4"/>
        </w:pBdr>
        <w:spacing w:after="160" w:before="400"/>
      </w:pPr>
      <w:r>
        <w:rPr>
          <w:rFonts w:ascii="Arial" w:cs="Arial" w:eastAsia="Arial" w:hAnsi="Arial"/>
          <w:b/>
          <w:bCs/>
          <w:color w:val="1A6B72"/>
          <w:sz w:val="36"/>
          <w:szCs w:val="36"/>
        </w:rPr>
        <w:t xml:space="preserve">Part 4: Page Content Specifications</w:t>
      </w:r>
    </w:p>
    <w:p>
      <w:pPr>
        <w:pStyle w:val="Heading2"/>
        <w:spacing w:after="120" w:before="320"/>
      </w:pPr>
      <w:r>
        <w:rPr>
          <w:rFonts w:ascii="Arial" w:cs="Arial" w:eastAsia="Arial" w:hAnsi="Arial"/>
          <w:b/>
          <w:bCs/>
          <w:color w:val="1A6B72"/>
          <w:sz w:val="28"/>
          <w:szCs w:val="28"/>
        </w:rPr>
        <w:t xml:space="preserve">Home Page</w:t>
      </w:r>
    </w:p>
    <w:p>
      <w:pPr>
        <w:pStyle w:val="Heading3"/>
        <w:spacing w:after="80" w:before="240"/>
      </w:pPr>
      <w:r>
        <w:rPr>
          <w:rFonts w:ascii="Arial" w:cs="Arial" w:eastAsia="Arial" w:hAnsi="Arial"/>
          <w:b/>
          <w:bCs/>
          <w:color w:val="1C1C1E"/>
          <w:sz w:val="24"/>
          <w:szCs w:val="24"/>
        </w:rPr>
        <w:t xml:space="preserve">Hero Section</w:t>
      </w:r>
    </w:p>
    <w:p>
      <w:pPr>
        <w:spacing w:after="100" w:before="60"/>
      </w:pPr>
      <w:r>
        <w:rPr>
          <w:rFonts w:ascii="Arial" w:cs="Arial" w:eastAsia="Arial" w:hAnsi="Arial"/>
          <w:b/>
          <w:bCs/>
          <w:i w:val="false"/>
          <w:iCs w:val="false"/>
          <w:color w:val="1C1C1E"/>
          <w:sz w:val="22"/>
          <w:szCs w:val="22"/>
        </w:rPr>
        <w:t xml:space="preserve">Headline:</w:t>
      </w:r>
    </w:p>
    <w:p>
      <w:pPr>
        <w:spacing w:after="80" w:before="80"/>
        <w:ind w:left="480"/>
      </w:pPr>
      <w:r>
        <w:rPr>
          <w:rFonts w:ascii="Arial" w:cs="Arial" w:eastAsia="Arial" w:hAnsi="Arial"/>
          <w:b/>
          <w:bCs/>
          <w:color w:val="1A6B72"/>
          <w:sz w:val="40"/>
          <w:szCs w:val="40"/>
        </w:rPr>
        <w:t xml:space="preserve">Language is access.</w:t>
      </w:r>
    </w:p>
    <w:p>
      <w:pPr>
        <w:spacing w:after="100" w:before="60"/>
      </w:pPr>
      <w:r>
        <w:rPr>
          <w:rFonts w:ascii="Arial" w:cs="Arial" w:eastAsia="Arial" w:hAnsi="Arial"/>
          <w:b/>
          <w:bCs/>
          <w:i w:val="false"/>
          <w:iCs w:val="false"/>
          <w:color w:val="1C1C1E"/>
          <w:sz w:val="22"/>
          <w:szCs w:val="22"/>
        </w:rPr>
        <w:t xml:space="preserve">Subheadline:</w:t>
      </w:r>
    </w:p>
    <w:p>
      <w:pPr>
        <w:spacing w:after="120" w:before="40"/>
        <w:ind w:left="480"/>
      </w:pPr>
      <w:r>
        <w:rPr>
          <w:rFonts w:ascii="Arial" w:cs="Arial" w:eastAsia="Arial" w:hAnsi="Arial"/>
          <w:i/>
          <w:iCs/>
          <w:color w:val="555555"/>
          <w:sz w:val="22"/>
          <w:szCs w:val="22"/>
        </w:rPr>
        <w:t xml:space="preserve">Make Spanish Casual is a nonprofit advancing health equity through free, culturally authentic Spanish education — for learners, providers, and communities.</w:t>
      </w:r>
    </w:p>
    <w:p>
      <w:pPr>
        <w:spacing w:after="100" w:before="60"/>
      </w:pPr>
      <w:r>
        <w:rPr>
          <w:rFonts w:ascii="Arial" w:cs="Arial" w:eastAsia="Arial" w:hAnsi="Arial"/>
          <w:b/>
          <w:bCs/>
          <w:i w:val="false"/>
          <w:iCs w:val="false"/>
          <w:color w:val="1C1C1E"/>
          <w:sz w:val="22"/>
          <w:szCs w:val="22"/>
        </w:rPr>
        <w:t xml:space="preserve">Two CTAs (equal visual weight):</w:t>
      </w:r>
    </w:p>
    <w:p>
      <w:pPr>
        <w:pStyle w:val="ListParagraph"/>
        <w:numPr>
          <w:ilvl w:val="0"/>
          <w:numId w:val="2"/>
        </w:numPr>
        <w:spacing w:after="40" w:before="40"/>
      </w:pPr>
      <w:r>
        <w:rPr>
          <w:rFonts w:ascii="Arial" w:cs="Arial" w:eastAsia="Arial" w:hAnsi="Arial"/>
          <w:sz w:val="22"/>
          <w:szCs w:val="22"/>
        </w:rPr>
        <w:t xml:space="preserve">[Start Learning Free] → /registration/</w:t>
      </w:r>
    </w:p>
    <w:p>
      <w:pPr>
        <w:pStyle w:val="ListParagraph"/>
        <w:numPr>
          <w:ilvl w:val="0"/>
          <w:numId w:val="2"/>
        </w:numPr>
        <w:spacing w:after="40" w:before="40"/>
      </w:pPr>
      <w:r>
        <w:rPr>
          <w:rFonts w:ascii="Arial" w:cs="Arial" w:eastAsia="Arial" w:hAnsi="Arial"/>
          <w:sz w:val="22"/>
          <w:szCs w:val="22"/>
        </w:rPr>
        <w:t xml:space="preserve">[Our Programs] → /programs/</w:t>
      </w:r>
    </w:p>
    <w:p>
      <w:pPr>
        <w:pStyle w:val="Heading3"/>
        <w:spacing w:after="80" w:before="240"/>
      </w:pPr>
      <w:r>
        <w:rPr>
          <w:rFonts w:ascii="Arial" w:cs="Arial" w:eastAsia="Arial" w:hAnsi="Arial"/>
          <w:b/>
          <w:bCs/>
          <w:color w:val="1C1C1E"/>
          <w:sz w:val="24"/>
          <w:szCs w:val="24"/>
        </w:rPr>
        <w:t xml:space="preserve">The Problem Section (NEW — replaces broken counters)</w:t>
      </w:r>
    </w:p>
    <w:p>
      <w:pPr>
        <w:spacing w:after="100" w:before="60"/>
      </w:pPr>
      <w:r>
        <w:rPr>
          <w:rFonts w:ascii="Arial" w:cs="Arial" w:eastAsia="Arial" w:hAnsi="Arial"/>
          <w:b w:val="false"/>
          <w:bCs w:val="false"/>
          <w:i w:val="false"/>
          <w:iCs w:val="false"/>
          <w:color w:val="1C1C1E"/>
          <w:sz w:val="22"/>
          <w:szCs w:val="22"/>
        </w:rPr>
        <w:t xml:space="preserve">Section headline: "Why language access matters"</w:t>
      </w:r>
    </w:p>
    <w:p>
      <w:pPr>
        <w:spacing w:after="100" w:before="60"/>
      </w:pPr>
      <w:r>
        <w:rPr>
          <w:rFonts w:ascii="Arial" w:cs="Arial" w:eastAsia="Arial" w:hAnsi="Arial"/>
          <w:b w:val="false"/>
          <w:bCs w:val="false"/>
          <w:i w:val="false"/>
          <w:iCs w:val="false"/>
          <w:color w:val="1C1C1E"/>
          <w:sz w:val="22"/>
          <w:szCs w:val="22"/>
        </w:rPr>
        <w:t xml:space="preserve">Three stat cards:</w:t>
      </w:r>
    </w:p>
    <w:p>
      <w:pPr>
        <w:pStyle w:val="ListParagraph"/>
        <w:numPr>
          <w:ilvl w:val="0"/>
          <w:numId w:val="2"/>
        </w:numPr>
        <w:spacing w:after="40" w:before="40"/>
      </w:pPr>
      <w:r>
        <w:rPr>
          <w:rFonts w:ascii="Arial" w:cs="Arial" w:eastAsia="Arial" w:hAnsi="Arial"/>
          <w:sz w:val="22"/>
          <w:szCs w:val="22"/>
        </w:rPr>
        <w:t xml:space="preserve">~25 million people in the U.S. have limited English proficiency</w:t>
      </w:r>
    </w:p>
    <w:p>
      <w:pPr>
        <w:pStyle w:val="ListParagraph"/>
        <w:numPr>
          <w:ilvl w:val="0"/>
          <w:numId w:val="2"/>
        </w:numPr>
        <w:spacing w:after="40" w:before="40"/>
      </w:pPr>
      <w:r>
        <w:rPr>
          <w:rFonts w:ascii="Arial" w:cs="Arial" w:eastAsia="Arial" w:hAnsi="Arial"/>
          <w:sz w:val="22"/>
          <w:szCs w:val="22"/>
        </w:rPr>
        <w:t xml:space="preserve">2–3x higher rate of adverse clinical events for patients with language barriers</w:t>
      </w:r>
    </w:p>
    <w:p>
      <w:pPr>
        <w:pStyle w:val="ListParagraph"/>
        <w:numPr>
          <w:ilvl w:val="0"/>
          <w:numId w:val="2"/>
        </w:numPr>
        <w:spacing w:after="40" w:before="40"/>
      </w:pPr>
      <w:r>
        <w:rPr>
          <w:rFonts w:ascii="Arial" w:cs="Arial" w:eastAsia="Arial" w:hAnsi="Arial"/>
          <w:sz w:val="22"/>
          <w:szCs w:val="22"/>
        </w:rPr>
        <w:t xml:space="preserve">&lt; 13% of U.S. physicians report proficiency in a second language</w:t>
      </w:r>
    </w:p>
    <w:p>
      <w:pPr>
        <w:spacing w:after="100" w:before="60"/>
      </w:pPr>
      <w:r>
        <w:rPr>
          <w:rFonts w:ascii="Arial" w:cs="Arial" w:eastAsia="Arial" w:hAnsi="Arial"/>
          <w:b w:val="false"/>
          <w:bCs w:val="false"/>
          <w:i/>
          <w:iCs/>
          <w:color w:val="555555"/>
          <w:sz w:val="22"/>
          <w:szCs w:val="22"/>
        </w:rPr>
        <w:t xml:space="preserve">Note: Verify these statistics before publishing. They reflect well-established research but confirm with current sources.</w:t>
      </w:r>
    </w:p>
    <w:p>
      <w:pPr>
        <w:spacing w:after="100" w:before="60"/>
      </w:pPr>
      <w:r>
        <w:rPr>
          <w:rFonts w:ascii="Arial" w:cs="Arial" w:eastAsia="Arial" w:hAnsi="Arial"/>
          <w:b w:val="false"/>
          <w:bCs w:val="false"/>
          <w:i w:val="false"/>
          <w:iCs w:val="false"/>
          <w:color w:val="1C1C1E"/>
          <w:sz w:val="22"/>
          <w:szCs w:val="22"/>
        </w:rPr>
        <w:t xml:space="preserve">Below stats: "Language barriers aren't just inconvenient. In healthcare settings, they cost lives."</w:t>
      </w:r>
    </w:p>
    <w:p>
      <w:pPr>
        <w:pStyle w:val="Heading3"/>
        <w:spacing w:after="80" w:before="240"/>
      </w:pPr>
      <w:r>
        <w:rPr>
          <w:rFonts w:ascii="Arial" w:cs="Arial" w:eastAsia="Arial" w:hAnsi="Arial"/>
          <w:b/>
          <w:bCs/>
          <w:color w:val="1C1C1E"/>
          <w:sz w:val="24"/>
          <w:szCs w:val="24"/>
        </w:rPr>
        <w:t xml:space="preserve">Four Pillars Section</w:t>
      </w:r>
    </w:p>
    <w:p>
      <w:pPr>
        <w:spacing w:after="100" w:before="60"/>
      </w:pPr>
      <w:r>
        <w:rPr>
          <w:rFonts w:ascii="Arial" w:cs="Arial" w:eastAsia="Arial" w:hAnsi="Arial"/>
          <w:b w:val="false"/>
          <w:bCs w:val="false"/>
          <w:i w:val="false"/>
          <w:iCs w:val="false"/>
          <w:color w:val="1C1C1E"/>
          <w:sz w:val="22"/>
          <w:szCs w:val="22"/>
        </w:rPr>
        <w:t xml:space="preserve">Use fresh icons (NOT images from themegrilldemos.com). Labels and copy per Part 1 Mission Pillars above.</w:t>
      </w:r>
    </w:p>
    <w:p>
      <w:pPr>
        <w:pStyle w:val="Heading3"/>
        <w:spacing w:after="80" w:before="240"/>
      </w:pPr>
      <w:r>
        <w:rPr>
          <w:rFonts w:ascii="Arial" w:cs="Arial" w:eastAsia="Arial" w:hAnsi="Arial"/>
          <w:b/>
          <w:bCs/>
          <w:color w:val="1C1C1E"/>
          <w:sz w:val="24"/>
          <w:szCs w:val="24"/>
        </w:rPr>
        <w:t xml:space="preserve">Programs Preview Section (NEW)</w:t>
      </w:r>
    </w:p>
    <w:p>
      <w:pPr>
        <w:spacing w:after="100" w:before="60"/>
      </w:pPr>
      <w:r>
        <w:rPr>
          <w:rFonts w:ascii="Arial" w:cs="Arial" w:eastAsia="Arial" w:hAnsi="Arial"/>
          <w:b w:val="false"/>
          <w:bCs w:val="false"/>
          <w:i w:val="false"/>
          <w:iCs w:val="false"/>
          <w:color w:val="1C1C1E"/>
          <w:sz w:val="22"/>
          <w:szCs w:val="22"/>
        </w:rPr>
        <w:t xml:space="preserve">Section headline: "Three programs. One mission."</w:t>
      </w:r>
    </w:p>
    <w:p>
      <w:pPr>
        <w:spacing w:after="100" w:before="60"/>
      </w:pPr>
      <w:r>
        <w:rPr>
          <w:rFonts w:ascii="Arial" w:cs="Arial" w:eastAsia="Arial" w:hAnsi="Arial"/>
          <w:b w:val="false"/>
          <w:bCs w:val="false"/>
          <w:i w:val="false"/>
          <w:iCs w:val="false"/>
          <w:color w:val="1C1C1E"/>
          <w:sz w:val="22"/>
          <w:szCs w:val="22"/>
        </w:rPr>
        <w:t xml:space="preserve">Three cards with short descriptions and links. See Part 2 for program descriptions.</w:t>
      </w:r>
    </w:p>
    <w:p>
      <w:pPr>
        <w:pStyle w:val="Heading3"/>
        <w:spacing w:after="80" w:before="240"/>
      </w:pPr>
      <w:r>
        <w:rPr>
          <w:rFonts w:ascii="Arial" w:cs="Arial" w:eastAsia="Arial" w:hAnsi="Arial"/>
          <w:b/>
          <w:bCs/>
          <w:color w:val="1C1C1E"/>
          <w:sz w:val="24"/>
          <w:szCs w:val="24"/>
        </w:rPr>
        <w:t xml:space="preserve">Founder / About Section</w:t>
      </w:r>
    </w:p>
    <w:p>
      <w:pPr>
        <w:spacing w:after="100" w:before="60"/>
      </w:pPr>
      <w:r>
        <w:rPr>
          <w:rFonts w:ascii="Arial" w:cs="Arial" w:eastAsia="Arial" w:hAnsi="Arial"/>
          <w:b w:val="false"/>
          <w:bCs w:val="false"/>
          <w:i w:val="false"/>
          <w:iCs w:val="false"/>
          <w:color w:val="1C1C1E"/>
          <w:sz w:val="22"/>
          <w:szCs w:val="22"/>
        </w:rPr>
        <w:t xml:space="preserve">Headline: "Student-led. Research-backed. Mission-driven."</w:t>
      </w:r>
    </w:p>
    <w:p>
      <w:pPr>
        <w:spacing w:after="100" w:before="60"/>
      </w:pPr>
      <w:r>
        <w:rPr>
          <w:rFonts w:ascii="Arial" w:cs="Arial" w:eastAsia="Arial" w:hAnsi="Arial"/>
          <w:b w:val="false"/>
          <w:bCs w:val="false"/>
          <w:i w:val="false"/>
          <w:iCs w:val="false"/>
          <w:color w:val="1C1C1E"/>
          <w:sz w:val="22"/>
          <w:szCs w:val="22"/>
        </w:rPr>
        <w:t xml:space="preserve">Body: MSC was founded by Jake Li, a high school student from Plano, TX whose work sits at the intersection of language, health, and equity. Jake has conducted language acquisition research at the University of Wisconsin-Madison, interned at UT Southwestern Medical Center, and advocated for language legislation on Capitol Hill. He founded MSC because authentic language education — the kind that reflects how people actually speak — is one of the most direct tools we have for reducing health disparities and building more connected communities.</w:t>
      </w:r>
    </w:p>
    <w:p>
      <w:pPr>
        <w:spacing w:after="100" w:before="60"/>
      </w:pPr>
      <w:r>
        <w:rPr>
          <w:rFonts w:ascii="Arial" w:cs="Arial" w:eastAsia="Arial" w:hAnsi="Arial"/>
          <w:b w:val="false"/>
          <w:bCs w:val="false"/>
          <w:i w:val="false"/>
          <w:iCs w:val="false"/>
          <w:color w:val="1C1C1E"/>
          <w:sz w:val="22"/>
          <w:szCs w:val="22"/>
        </w:rPr>
        <w:t xml:space="preserve">CTA: [Meet Our Team →] → /about/</w:t>
      </w:r>
    </w:p>
    <w:p>
      <w:pPr>
        <w:pStyle w:val="Heading3"/>
        <w:spacing w:after="80" w:before="240"/>
      </w:pPr>
      <w:r>
        <w:rPr>
          <w:rFonts w:ascii="Arial" w:cs="Arial" w:eastAsia="Arial" w:hAnsi="Arial"/>
          <w:b/>
          <w:bCs/>
          <w:color w:val="1C1C1E"/>
          <w:sz w:val="24"/>
          <w:szCs w:val="24"/>
        </w:rPr>
        <w:t xml:space="preserve">Donate CTA Section</w:t>
      </w:r>
    </w:p>
    <w:p>
      <w:pPr>
        <w:spacing w:after="100" w:before="60"/>
      </w:pPr>
      <w:r>
        <w:rPr>
          <w:rFonts w:ascii="Arial" w:cs="Arial" w:eastAsia="Arial" w:hAnsi="Arial"/>
          <w:b w:val="false"/>
          <w:bCs w:val="false"/>
          <w:i w:val="false"/>
          <w:iCs w:val="false"/>
          <w:color w:val="1C1C1E"/>
          <w:sz w:val="22"/>
          <w:szCs w:val="22"/>
        </w:rPr>
        <w:t xml:space="preserve">Headline: "Help us keep it free."</w:t>
      </w:r>
    </w:p>
    <w:p>
      <w:pPr>
        <w:spacing w:after="100" w:before="60"/>
      </w:pPr>
      <w:r>
        <w:rPr>
          <w:rFonts w:ascii="Arial" w:cs="Arial" w:eastAsia="Arial" w:hAnsi="Arial"/>
          <w:b w:val="false"/>
          <w:bCs w:val="false"/>
          <w:i w:val="false"/>
          <w:iCs w:val="false"/>
          <w:color w:val="1C1C1E"/>
          <w:sz w:val="22"/>
          <w:szCs w:val="22"/>
        </w:rPr>
        <w:t xml:space="preserve">Body: Every resource, course, and program MSC offers is free. Your donation keeps it that way — and helps us expand the Healthcare Spanish Initiative to serve more pre-health students and providers.</w:t>
      </w:r>
    </w:p>
    <w:p>
      <w:pPr>
        <w:spacing w:after="100" w:before="60"/>
      </w:pPr>
      <w:r>
        <w:rPr>
          <w:rFonts w:ascii="Arial" w:cs="Arial" w:eastAsia="Arial" w:hAnsi="Arial"/>
          <w:b w:val="false"/>
          <w:bCs w:val="false"/>
          <w:i w:val="false"/>
          <w:iCs w:val="false"/>
          <w:color w:val="1C1C1E"/>
          <w:sz w:val="22"/>
          <w:szCs w:val="22"/>
        </w:rPr>
        <w:t xml:space="preserve">CTA: [Make a Donation →]</w:t>
      </w:r>
    </w:p>
    <w:p>
      <w:pPr>
        <w:pStyle w:val="Heading2"/>
        <w:spacing w:after="120" w:before="320"/>
      </w:pPr>
      <w:r>
        <w:rPr>
          <w:rFonts w:ascii="Arial" w:cs="Arial" w:eastAsia="Arial" w:hAnsi="Arial"/>
          <w:b/>
          <w:bCs/>
          <w:color w:val="1A6B72"/>
          <w:sz w:val="28"/>
          <w:szCs w:val="28"/>
        </w:rPr>
        <w:t xml:space="preserve">About Page (/about/)</w:t>
      </w:r>
    </w:p>
    <w:p>
      <w:pPr>
        <w:spacing w:after="100" w:before="60"/>
      </w:pPr>
      <w:r>
        <w:rPr>
          <w:rFonts w:ascii="Arial" w:cs="Arial" w:eastAsia="Arial" w:hAnsi="Arial"/>
          <w:b w:val="false"/>
          <w:bCs w:val="false"/>
          <w:i w:val="false"/>
          <w:iCs w:val="false"/>
          <w:color w:val="1C1C1E"/>
          <w:sz w:val="22"/>
          <w:szCs w:val="22"/>
        </w:rPr>
        <w:t xml:space="preserve">Consolidate "About MSC" and "About Us" into one page. Remove blog sidebar entirely from this page template.</w:t>
      </w:r>
    </w:p>
    <w:p>
      <w:pPr>
        <w:pStyle w:val="Heading3"/>
        <w:spacing w:after="80" w:before="240"/>
      </w:pPr>
      <w:r>
        <w:rPr>
          <w:rFonts w:ascii="Arial" w:cs="Arial" w:eastAsia="Arial" w:hAnsi="Arial"/>
          <w:b/>
          <w:bCs/>
          <w:color w:val="1C1C1E"/>
          <w:sz w:val="24"/>
          <w:szCs w:val="24"/>
        </w:rPr>
        <w:t xml:space="preserve">Section 1: Why We Exist</w:t>
      </w:r>
    </w:p>
    <w:p>
      <w:pPr>
        <w:spacing w:after="100" w:before="60"/>
      </w:pPr>
      <w:r>
        <w:rPr>
          <w:rFonts w:ascii="Arial" w:cs="Arial" w:eastAsia="Arial" w:hAnsi="Arial"/>
          <w:b w:val="false"/>
          <w:bCs w:val="false"/>
          <w:i w:val="false"/>
          <w:iCs w:val="false"/>
          <w:color w:val="1C1C1E"/>
          <w:sz w:val="22"/>
          <w:szCs w:val="22"/>
        </w:rPr>
        <w:t xml:space="preserve">Body: Language shapes every interaction — including whether a patient trusts their provider, whether a student feels seen in the classroom, whether a family can navigate the systems meant to serve them. Make Spanish Casual exists because authentic, culturally grounded language education can change those interactions. We believe language access is a matter of equity. Our job is to make it free.</w:t>
      </w:r>
    </w:p>
    <w:p>
      <w:pPr>
        <w:pStyle w:val="Heading3"/>
        <w:spacing w:after="80" w:before="240"/>
      </w:pPr>
      <w:r>
        <w:rPr>
          <w:rFonts w:ascii="Arial" w:cs="Arial" w:eastAsia="Arial" w:hAnsi="Arial"/>
          <w:b/>
          <w:bCs/>
          <w:color w:val="1C1C1E"/>
          <w:sz w:val="24"/>
          <w:szCs w:val="24"/>
        </w:rPr>
        <w:t xml:space="preserve">Section 2: Our Story</w:t>
      </w:r>
    </w:p>
    <w:p>
      <w:pPr>
        <w:spacing w:after="100" w:before="60"/>
      </w:pPr>
      <w:r>
        <w:rPr>
          <w:rFonts w:ascii="Arial" w:cs="Arial" w:eastAsia="Arial" w:hAnsi="Arial"/>
          <w:b w:val="false"/>
          <w:bCs w:val="false"/>
          <w:i w:val="false"/>
          <w:iCs w:val="false"/>
          <w:color w:val="1C1C1E"/>
          <w:sz w:val="22"/>
          <w:szCs w:val="22"/>
        </w:rPr>
        <w:t xml:space="preserve">Body: MSC began as a Spanish slang education platform in Plano, TX — a free resource for learners who felt left behind by textbook Spanish that didn't match the language they heard in their communities. Over time, the work evolved. As MSC's founder deepened his research in language acquisition, pursued pre-medicine studies, and saw firsthand how language barriers affect clinical outcomes, the organization's mission came into focus: language access isn't just an educational issue. It's a health equity issue. Today, MSC combines free community education with a healthcare-focused training initiative and policy advocacy.</w:t>
      </w:r>
    </w:p>
    <w:p>
      <w:pPr>
        <w:pStyle w:val="Heading3"/>
        <w:spacing w:after="80" w:before="240"/>
      </w:pPr>
      <w:r>
        <w:rPr>
          <w:rFonts w:ascii="Arial" w:cs="Arial" w:eastAsia="Arial" w:hAnsi="Arial"/>
          <w:b/>
          <w:bCs/>
          <w:color w:val="1C1C1E"/>
          <w:sz w:val="24"/>
          <w:szCs w:val="24"/>
        </w:rPr>
        <w:t xml:space="preserve">Section 3: Our Team</w:t>
      </w:r>
    </w:p>
    <w:p>
      <w:pPr>
        <w:spacing w:after="80"/>
      </w:pPr>
    </w:p>
    <w:p>
      <w:pPr>
        <w:spacing w:after="100" w:before="60"/>
      </w:pPr>
      <w:r>
        <w:rPr>
          <w:rFonts w:ascii="Arial" w:cs="Arial" w:eastAsia="Arial" w:hAnsi="Arial"/>
          <w:b/>
          <w:bCs/>
          <w:i w:val="false"/>
          <w:iCs w:val="false"/>
          <w:color w:val="1C1C1E"/>
          <w:sz w:val="22"/>
          <w:szCs w:val="22"/>
        </w:rPr>
        <w:t xml:space="preserve">JAKE LI — CEO &amp; Founder</w:t>
      </w:r>
    </w:p>
    <w:p>
      <w:pPr>
        <w:spacing w:after="100" w:before="60"/>
      </w:pPr>
      <w:r>
        <w:rPr>
          <w:rFonts w:ascii="Arial" w:cs="Arial" w:eastAsia="Arial" w:hAnsi="Arial"/>
          <w:b w:val="false"/>
          <w:bCs w:val="false"/>
          <w:i w:val="false"/>
          <w:iCs w:val="false"/>
          <w:color w:val="1C1C1E"/>
          <w:sz w:val="22"/>
          <w:szCs w:val="22"/>
        </w:rPr>
        <w:t xml:space="preserve">jake@makespanishcasual.org</w:t>
      </w:r>
    </w:p>
    <w:p>
      <w:pPr>
        <w:spacing w:after="100" w:before="60"/>
      </w:pPr>
      <w:r>
        <w:rPr>
          <w:rFonts w:ascii="Arial" w:cs="Arial" w:eastAsia="Arial" w:hAnsi="Arial"/>
          <w:b w:val="false"/>
          <w:bCs w:val="false"/>
          <w:i w:val="false"/>
          <w:iCs w:val="false"/>
          <w:color w:val="1C1C1E"/>
          <w:sz w:val="22"/>
          <w:szCs w:val="22"/>
        </w:rPr>
        <w:t xml:space="preserve">Jake Li is a high school student (Class of 2027) whose work sits at the intersection of language science, health equity, and AI. He is the founder of Make Spanish Casual and the AI patient safety startup Hindsight, accepted into MIT Sandbox, Microsoft for Startups (Azure), and AWS.</w:t>
      </w:r>
    </w:p>
    <w:p>
      <w:pPr>
        <w:spacing w:after="100" w:before="60"/>
      </w:pPr>
      <w:r>
        <w:rPr>
          <w:rFonts w:ascii="Arial" w:cs="Arial" w:eastAsia="Arial" w:hAnsi="Arial"/>
          <w:b w:val="false"/>
          <w:bCs w:val="false"/>
          <w:i w:val="false"/>
          <w:iCs w:val="false"/>
          <w:color w:val="1C1C1E"/>
          <w:sz w:val="22"/>
          <w:szCs w:val="22"/>
        </w:rPr>
        <w:t xml:space="preserve">Jake has conducted 500+ hours of language acquisition research at UW-Madison's Language Acquisition and Bilingualism (LAB) Laboratory under Dr. Kaushanskaya, investigating how colloquialisms affect cognitive development in children with developmental disabilities. He has also conducted clinical research at UT Southwestern Medical Center, completed Rice University's Spanish for Successful Communication in Healthcare Settings (A+), and served as a student researcher at Syracuse University improving language transcript analysis software (SALT).</w:t>
      </w:r>
    </w:p>
    <w:p>
      <w:pPr>
        <w:spacing w:after="100" w:before="60"/>
      </w:pPr>
      <w:r>
        <w:rPr>
          <w:rFonts w:ascii="Arial" w:cs="Arial" w:eastAsia="Arial" w:hAnsi="Arial"/>
          <w:b w:val="false"/>
          <w:bCs w:val="false"/>
          <w:i w:val="false"/>
          <w:iCs w:val="false"/>
          <w:color w:val="1C1C1E"/>
          <w:sz w:val="22"/>
          <w:szCs w:val="22"/>
        </w:rPr>
        <w:t xml:space="preserve">He serves on the Advocacy Committee for the National Network for Early Language Learning (NNELL), has advocated for language legislation on Capitol Hill alongside U.S. Reps. Lloyd Doggett and Jasmine Crockett and Senator Ted Cruz, and has presented at ACTFL conventions in Chicago (2023), Philadelphia (2024), and New Orleans (2025). His research has been presented at UTASCiLT and the UC Davis Symposium on Language Research. He is also a TEDx speaker (2026) and PASF State Board President (2026–2027).</w:t>
      </w:r>
    </w:p>
    <w:p>
      <w:pPr>
        <w:spacing w:after="100" w:before="60"/>
      </w:pPr>
      <w:r>
        <w:rPr>
          <w:rFonts w:ascii="Arial" w:cs="Arial" w:eastAsia="Arial" w:hAnsi="Arial"/>
          <w:b w:val="false"/>
          <w:bCs w:val="false"/>
          <w:i w:val="false"/>
          <w:iCs w:val="false"/>
          <w:color w:val="1C1C1E"/>
          <w:sz w:val="22"/>
          <w:szCs w:val="22"/>
        </w:rPr>
        <w:t xml:space="preserve">Intended major: Cognitive Science / Computational Linguistics at the intersection of language, AI, and medicine (Pre-Medicine track). Minor in Spanish.</w:t>
      </w:r>
    </w:p>
    <w:p>
      <w:pPr>
        <w:spacing w:after="80"/>
      </w:pPr>
    </w:p>
    <w:p>
      <w:pPr>
        <w:spacing w:after="100" w:before="60"/>
      </w:pPr>
      <w:r>
        <w:rPr>
          <w:rFonts w:ascii="Arial" w:cs="Arial" w:eastAsia="Arial" w:hAnsi="Arial"/>
          <w:b/>
          <w:bCs/>
          <w:i w:val="false"/>
          <w:iCs w:val="false"/>
          <w:color w:val="1C1C1E"/>
          <w:sz w:val="22"/>
          <w:szCs w:val="22"/>
        </w:rPr>
        <w:t xml:space="preserve">JADA LI — Head of Development</w:t>
      </w:r>
    </w:p>
    <w:p>
      <w:pPr>
        <w:spacing w:after="100" w:before="60"/>
      </w:pPr>
      <w:r>
        <w:rPr>
          <w:rFonts w:ascii="Arial" w:cs="Arial" w:eastAsia="Arial" w:hAnsi="Arial"/>
          <w:b w:val="false"/>
          <w:bCs w:val="false"/>
          <w:i w:val="false"/>
          <w:iCs w:val="false"/>
          <w:color w:val="1C1C1E"/>
          <w:sz w:val="22"/>
          <w:szCs w:val="22"/>
        </w:rPr>
        <w:t xml:space="preserve">Jada graduated from MIT with a minor in Spanish. She leads MSC's development and fundraising strategy, bringing institutional experience and a commitment to making language education accessible at scale.</w:t>
      </w:r>
    </w:p>
    <w:p>
      <w:pPr>
        <w:spacing w:after="80"/>
      </w:pPr>
    </w:p>
    <w:p>
      <w:pPr>
        <w:spacing w:after="100" w:before="60"/>
      </w:pPr>
      <w:r>
        <w:rPr>
          <w:rFonts w:ascii="Arial" w:cs="Arial" w:eastAsia="Arial" w:hAnsi="Arial"/>
          <w:b/>
          <w:bCs/>
          <w:i w:val="false"/>
          <w:iCs w:val="false"/>
          <w:color w:val="1C1C1E"/>
          <w:sz w:val="22"/>
          <w:szCs w:val="22"/>
        </w:rPr>
        <w:t xml:space="preserve">DEVIN CARROLL — Social Media Manager &amp; Content Creator</w:t>
      </w:r>
    </w:p>
    <w:p>
      <w:pPr>
        <w:spacing w:after="100" w:before="60"/>
      </w:pPr>
      <w:r>
        <w:rPr>
          <w:rFonts w:ascii="Arial" w:cs="Arial" w:eastAsia="Arial" w:hAnsi="Arial"/>
          <w:b w:val="false"/>
          <w:bCs w:val="false"/>
          <w:i w:val="false"/>
          <w:iCs w:val="false"/>
          <w:color w:val="1C1C1E"/>
          <w:sz w:val="22"/>
          <w:szCs w:val="22"/>
        </w:rPr>
        <w:t xml:space="preserve">Devin is a student at Plano East Senior High School and one of MSC's earliest community members. He creates content that makes authentic Spanish learning visible and shareable.</w:t>
      </w:r>
    </w:p>
    <w:p>
      <w:pPr>
        <w:spacing w:after="80"/>
      </w:pPr>
    </w:p>
    <w:p>
      <w:pPr>
        <w:spacing w:after="100" w:before="60"/>
      </w:pPr>
      <w:r>
        <w:rPr>
          <w:rFonts w:ascii="Arial" w:cs="Arial" w:eastAsia="Arial" w:hAnsi="Arial"/>
          <w:b/>
          <w:bCs/>
          <w:i w:val="false"/>
          <w:iCs w:val="false"/>
          <w:color w:val="1C1C1E"/>
          <w:sz w:val="22"/>
          <w:szCs w:val="22"/>
        </w:rPr>
        <w:t xml:space="preserve">JORDAN STAFFORD — Social Media Manager &amp; Content Creator</w:t>
      </w:r>
    </w:p>
    <w:p>
      <w:pPr>
        <w:spacing w:after="100" w:before="60"/>
      </w:pPr>
      <w:r>
        <w:rPr>
          <w:rFonts w:ascii="Arial" w:cs="Arial" w:eastAsia="Arial" w:hAnsi="Arial"/>
          <w:b w:val="false"/>
          <w:bCs w:val="false"/>
          <w:i w:val="false"/>
          <w:iCs w:val="false"/>
          <w:color w:val="1C1C1E"/>
          <w:sz w:val="22"/>
          <w:szCs w:val="22"/>
        </w:rPr>
        <w:t xml:space="preserve">Jordan is a student at Plano East Senior High School. She develops content across MSC's social platforms, with a focus on making Spanish feel approachable and culturally rich for new learners.</w:t>
      </w:r>
    </w:p>
    <w:p>
      <w:pPr>
        <w:spacing w:after="80"/>
      </w:pPr>
    </w:p>
    <w:p>
      <w:pPr>
        <w:spacing w:after="100" w:before="60"/>
      </w:pPr>
      <w:r>
        <w:rPr>
          <w:rFonts w:ascii="Arial" w:cs="Arial" w:eastAsia="Arial" w:hAnsi="Arial"/>
          <w:b/>
          <w:bCs/>
          <w:i w:val="false"/>
          <w:iCs w:val="false"/>
          <w:color w:val="1C1C1E"/>
          <w:sz w:val="22"/>
          <w:szCs w:val="22"/>
        </w:rPr>
        <w:t xml:space="preserve">BRAEDEN QUACH — Event Volunteer</w:t>
      </w:r>
    </w:p>
    <w:p>
      <w:pPr>
        <w:spacing w:after="100" w:before="60"/>
      </w:pPr>
      <w:r>
        <w:rPr>
          <w:rFonts w:ascii="Arial" w:cs="Arial" w:eastAsia="Arial" w:hAnsi="Arial"/>
          <w:b w:val="false"/>
          <w:bCs w:val="false"/>
          <w:i w:val="false"/>
          <w:iCs w:val="false"/>
          <w:color w:val="1C1C1E"/>
          <w:sz w:val="22"/>
          <w:szCs w:val="22"/>
        </w:rPr>
        <w:t xml:space="preserve">Braeden is a student at Plano East Senior High School. He supports MSC's in-person events and community building in the DFW area.</w:t>
      </w:r>
    </w:p>
    <w:p>
      <w:pPr>
        <w:spacing w:after="80"/>
      </w:pPr>
    </w:p>
    <w:p>
      <w:pPr>
        <w:spacing w:after="100" w:before="60"/>
      </w:pPr>
      <w:r>
        <w:rPr>
          <w:rFonts w:ascii="Arial" w:cs="Arial" w:eastAsia="Arial" w:hAnsi="Arial"/>
          <w:b/>
          <w:bCs/>
          <w:i w:val="false"/>
          <w:iCs w:val="false"/>
          <w:color w:val="1C1C1E"/>
          <w:sz w:val="22"/>
          <w:szCs w:val="22"/>
        </w:rPr>
        <w:t xml:space="preserve">RISHAN PATEL — Event Volunteer</w:t>
      </w:r>
    </w:p>
    <w:p>
      <w:pPr>
        <w:spacing w:after="100" w:before="60"/>
      </w:pPr>
      <w:r>
        <w:rPr>
          <w:rFonts w:ascii="Arial" w:cs="Arial" w:eastAsia="Arial" w:hAnsi="Arial"/>
          <w:b w:val="false"/>
          <w:bCs w:val="false"/>
          <w:i w:val="false"/>
          <w:iCs w:val="false"/>
          <w:color w:val="1C1C1E"/>
          <w:sz w:val="22"/>
          <w:szCs w:val="22"/>
        </w:rPr>
        <w:t xml:space="preserve">Rishan is a student at Plano East Senior High School. He helps organize and run MSC's community events across the DFW metroplex.</w:t>
      </w:r>
    </w:p>
    <w:p>
      <w:pPr>
        <w:spacing w:after="80"/>
      </w:pPr>
    </w:p>
    <w:p>
      <w:pPr>
        <w:spacing w:after="100" w:before="60"/>
      </w:pPr>
      <w:r>
        <w:rPr>
          <w:rFonts w:ascii="Arial" w:cs="Arial" w:eastAsia="Arial" w:hAnsi="Arial"/>
          <w:b/>
          <w:bCs/>
          <w:i w:val="false"/>
          <w:iCs w:val="false"/>
          <w:color w:val="1C1C1E"/>
          <w:sz w:val="22"/>
          <w:szCs w:val="22"/>
        </w:rPr>
        <w:t xml:space="preserve">JACOB HABTEMARIAM — Event Volunteer</w:t>
      </w:r>
    </w:p>
    <w:p>
      <w:pPr>
        <w:spacing w:after="100" w:before="60"/>
      </w:pPr>
      <w:r>
        <w:rPr>
          <w:rFonts w:ascii="Arial" w:cs="Arial" w:eastAsia="Arial" w:hAnsi="Arial"/>
          <w:b w:val="false"/>
          <w:bCs w:val="false"/>
          <w:i w:val="false"/>
          <w:iCs w:val="false"/>
          <w:color w:val="1C1C1E"/>
          <w:sz w:val="22"/>
          <w:szCs w:val="22"/>
        </w:rPr>
        <w:t xml:space="preserve">Jacob is a student at Plano East Senior High School. He volunteers at MSC events, helping build the in-person community that complements the online learning platform.</w:t>
      </w:r>
    </w:p>
    <w:p>
      <w:pPr>
        <w:pStyle w:val="Heading3"/>
        <w:spacing w:after="80" w:before="240"/>
      </w:pPr>
      <w:r>
        <w:rPr>
          <w:rFonts w:ascii="Arial" w:cs="Arial" w:eastAsia="Arial" w:hAnsi="Arial"/>
          <w:b/>
          <w:bCs/>
          <w:color w:val="1C1C1E"/>
          <w:sz w:val="24"/>
          <w:szCs w:val="24"/>
        </w:rPr>
        <w:t xml:space="preserve">Section 4: Affiliations</w:t>
      </w:r>
    </w:p>
    <w:p>
      <w:pPr>
        <w:spacing w:after="100" w:before="60"/>
      </w:pPr>
      <w:r>
        <w:rPr>
          <w:rFonts w:ascii="Arial" w:cs="Arial" w:eastAsia="Arial" w:hAnsi="Arial"/>
          <w:b w:val="false"/>
          <w:bCs w:val="false"/>
          <w:i w:val="false"/>
          <w:iCs w:val="false"/>
          <w:color w:val="1C1C1E"/>
          <w:sz w:val="22"/>
          <w:szCs w:val="22"/>
        </w:rPr>
        <w:t xml:space="preserve">Display logos or text references for: NNELL, ACTFL, Language Connects Foundation, University of Wisconsin-Madison, Syracuse University, MIT Sandbox, UT Southwestern Medical Center.</w:t>
      </w:r>
    </w:p>
    <w:p>
      <w:pPr>
        <w:pStyle w:val="Heading2"/>
        <w:spacing w:after="120" w:before="320"/>
      </w:pPr>
      <w:r>
        <w:rPr>
          <w:rFonts w:ascii="Arial" w:cs="Arial" w:eastAsia="Arial" w:hAnsi="Arial"/>
          <w:b/>
          <w:bCs/>
          <w:color w:val="1A6B72"/>
          <w:sz w:val="28"/>
          <w:szCs w:val="28"/>
        </w:rPr>
        <w:t xml:space="preserve">Programs Page (/programs/) — NEW</w:t>
      </w:r>
    </w:p>
    <w:p>
      <w:pPr>
        <w:spacing w:after="100" w:before="60"/>
      </w:pPr>
      <w:r>
        <w:rPr>
          <w:rFonts w:ascii="Arial" w:cs="Arial" w:eastAsia="Arial" w:hAnsi="Arial"/>
          <w:b w:val="false"/>
          <w:bCs w:val="false"/>
          <w:i w:val="false"/>
          <w:iCs w:val="false"/>
          <w:color w:val="1C1C1E"/>
          <w:sz w:val="22"/>
          <w:szCs w:val="22"/>
        </w:rPr>
        <w:t xml:space="preserve">Hero: "Three programs. One mission." / "Everything MSC does is free — and everything connects back to equitable language access."</w:t>
      </w:r>
    </w:p>
    <w:p>
      <w:pPr>
        <w:spacing w:after="100" w:before="60"/>
      </w:pPr>
      <w:r>
        <w:rPr>
          <w:rFonts w:ascii="Arial" w:cs="Arial" w:eastAsia="Arial" w:hAnsi="Arial"/>
          <w:b w:val="false"/>
          <w:bCs w:val="false"/>
          <w:i w:val="false"/>
          <w:iCs w:val="false"/>
          <w:color w:val="1C1C1E"/>
          <w:sz w:val="22"/>
          <w:szCs w:val="22"/>
        </w:rPr>
        <w:t xml:space="preserve">Three full-width program cards, each with: program name, 2-sentence description, target audience, CTA button.</w:t>
      </w:r>
    </w:p>
    <w:p>
      <w:pPr>
        <w:spacing w:after="100" w:before="60"/>
      </w:pPr>
      <w:r>
        <w:rPr>
          <w:rFonts w:ascii="Arial" w:cs="Arial" w:eastAsia="Arial" w:hAnsi="Arial"/>
          <w:b w:val="false"/>
          <w:bCs w:val="false"/>
          <w:i w:val="false"/>
          <w:iCs w:val="false"/>
          <w:color w:val="1C1C1E"/>
          <w:sz w:val="22"/>
          <w:szCs w:val="22"/>
        </w:rPr>
        <w:t xml:space="preserve">Program 1: Healthcare Spanish Initiative — [Learn More] → /healthcare-spanish/</w:t>
      </w:r>
    </w:p>
    <w:p>
      <w:pPr>
        <w:spacing w:after="100" w:before="60"/>
      </w:pPr>
      <w:r>
        <w:rPr>
          <w:rFonts w:ascii="Arial" w:cs="Arial" w:eastAsia="Arial" w:hAnsi="Arial"/>
          <w:b w:val="false"/>
          <w:bCs w:val="false"/>
          <w:i w:val="false"/>
          <w:iCs w:val="false"/>
          <w:color w:val="1C1C1E"/>
          <w:sz w:val="22"/>
          <w:szCs w:val="22"/>
        </w:rPr>
        <w:t xml:space="preserve">Program 2: Community Learning Platform — [Start Learning] → /learn/</w:t>
      </w:r>
    </w:p>
    <w:p>
      <w:pPr>
        <w:spacing w:after="100" w:before="60"/>
      </w:pPr>
      <w:r>
        <w:rPr>
          <w:rFonts w:ascii="Arial" w:cs="Arial" w:eastAsia="Arial" w:hAnsi="Arial"/>
          <w:b w:val="false"/>
          <w:bCs w:val="false"/>
          <w:i w:val="false"/>
          <w:iCs w:val="false"/>
          <w:color w:val="1C1C1E"/>
          <w:sz w:val="22"/>
          <w:szCs w:val="22"/>
        </w:rPr>
        <w:t xml:space="preserve">Program 3: Language Access Advocacy — [Get Involved] → /advocacy/</w:t>
      </w:r>
    </w:p>
    <w:p>
      <w:pPr>
        <w:pStyle w:val="Heading2"/>
        <w:spacing w:after="120" w:before="320"/>
      </w:pPr>
      <w:r>
        <w:rPr>
          <w:rFonts w:ascii="Arial" w:cs="Arial" w:eastAsia="Arial" w:hAnsi="Arial"/>
          <w:b/>
          <w:bCs/>
          <w:color w:val="1A6B72"/>
          <w:sz w:val="28"/>
          <w:szCs w:val="28"/>
        </w:rPr>
        <w:t xml:space="preserve">Healthcare Spanish Initiative Page (/healthcare-spanish/) — NEW</w:t>
      </w:r>
    </w:p>
    <w:p>
      <w:pPr>
        <w:spacing w:after="100" w:before="60"/>
      </w:pPr>
      <w:r>
        <w:rPr>
          <w:rFonts w:ascii="Arial" w:cs="Arial" w:eastAsia="Arial" w:hAnsi="Arial"/>
          <w:b w:val="false"/>
          <w:bCs w:val="false"/>
          <w:i w:val="false"/>
          <w:iCs w:val="false"/>
          <w:color w:val="1C1C1E"/>
          <w:sz w:val="22"/>
          <w:szCs w:val="22"/>
        </w:rPr>
        <w:t xml:space="preserve">Hero headline: "The Spanish your patients are actually speaking."</w:t>
      </w:r>
    </w:p>
    <w:p>
      <w:pPr>
        <w:spacing w:after="100" w:before="60"/>
      </w:pPr>
      <w:r>
        <w:rPr>
          <w:rFonts w:ascii="Arial" w:cs="Arial" w:eastAsia="Arial" w:hAnsi="Arial"/>
          <w:b w:val="false"/>
          <w:bCs w:val="false"/>
          <w:i w:val="false"/>
          <w:iCs w:val="false"/>
          <w:color w:val="1C1C1E"/>
          <w:sz w:val="22"/>
          <w:szCs w:val="22"/>
        </w:rPr>
        <w:t xml:space="preserve">Hero subheadline: "Free training in culturally authentic medical Spanish for pre-health students, providers, and community health workers."</w:t>
      </w:r>
    </w:p>
    <w:p>
      <w:pPr>
        <w:spacing w:after="100" w:before="60"/>
      </w:pPr>
      <w:r>
        <w:rPr>
          <w:rFonts w:ascii="Arial" w:cs="Arial" w:eastAsia="Arial" w:hAnsi="Arial"/>
          <w:b w:val="false"/>
          <w:bCs w:val="false"/>
          <w:i w:val="false"/>
          <w:iCs w:val="false"/>
          <w:color w:val="1C1C1E"/>
          <w:sz w:val="22"/>
          <w:szCs w:val="22"/>
        </w:rPr>
        <w:t xml:space="preserve">CTA: [Enroll Free]</w:t>
      </w:r>
    </w:p>
    <w:p>
      <w:pPr>
        <w:spacing w:after="80"/>
      </w:pPr>
    </w:p>
    <w:p>
      <w:pPr>
        <w:spacing w:after="100" w:before="60"/>
      </w:pPr>
      <w:r>
        <w:rPr>
          <w:rFonts w:ascii="Arial" w:cs="Arial" w:eastAsia="Arial" w:hAnsi="Arial"/>
          <w:b w:val="false"/>
          <w:bCs w:val="false"/>
          <w:i w:val="false"/>
          <w:iCs w:val="false"/>
          <w:color w:val="1C1C1E"/>
          <w:sz w:val="22"/>
          <w:szCs w:val="22"/>
        </w:rPr>
        <w:t xml:space="preserve">The Problem section: Full copy in Part 2 above — use the problem statement and statistic about clinical events, LEP population, physician language proficiency.</w:t>
      </w:r>
    </w:p>
    <w:p>
      <w:pPr>
        <w:spacing w:after="100" w:before="60"/>
      </w:pPr>
      <w:r>
        <w:rPr>
          <w:rFonts w:ascii="Arial" w:cs="Arial" w:eastAsia="Arial" w:hAnsi="Arial"/>
          <w:b w:val="false"/>
          <w:bCs w:val="false"/>
          <w:i w:val="false"/>
          <w:iCs w:val="false"/>
          <w:color w:val="1C1C1E"/>
          <w:sz w:val="22"/>
          <w:szCs w:val="22"/>
        </w:rPr>
        <w:t xml:space="preserve">What You'll Learn: 5 curriculum areas (see Part 2).</w:t>
      </w:r>
    </w:p>
    <w:p>
      <w:pPr>
        <w:spacing w:after="100" w:before="60"/>
      </w:pPr>
      <w:r>
        <w:rPr>
          <w:rFonts w:ascii="Arial" w:cs="Arial" w:eastAsia="Arial" w:hAnsi="Arial"/>
          <w:b w:val="false"/>
          <w:bCs w:val="false"/>
          <w:i w:val="false"/>
          <w:iCs w:val="false"/>
          <w:color w:val="1C1C1E"/>
          <w:sz w:val="22"/>
          <w:szCs w:val="22"/>
        </w:rPr>
        <w:t xml:space="preserve">Research Foundation: Cite UW-Madison research, Rice course, UT Southwestern internship.</w:t>
      </w:r>
    </w:p>
    <w:p>
      <w:pPr>
        <w:spacing w:after="100" w:before="60"/>
      </w:pPr>
      <w:r>
        <w:rPr>
          <w:rFonts w:ascii="Arial" w:cs="Arial" w:eastAsia="Arial" w:hAnsi="Arial"/>
          <w:b w:val="false"/>
          <w:bCs w:val="false"/>
          <w:i w:val="false"/>
          <w:iCs w:val="false"/>
          <w:color w:val="1C1C1E"/>
          <w:sz w:val="22"/>
          <w:szCs w:val="22"/>
        </w:rPr>
        <w:t xml:space="preserve">Who It's For: Bulleted list of 5 audiences (see Part 2).</w:t>
      </w:r>
    </w:p>
    <w:p>
      <w:pPr>
        <w:spacing w:after="100" w:before="60"/>
      </w:pPr>
      <w:r>
        <w:rPr>
          <w:rFonts w:ascii="Arial" w:cs="Arial" w:eastAsia="Arial" w:hAnsi="Arial"/>
          <w:b w:val="false"/>
          <w:bCs w:val="false"/>
          <w:i w:val="false"/>
          <w:iCs w:val="false"/>
          <w:color w:val="1C1C1E"/>
          <w:sz w:val="22"/>
          <w:szCs w:val="22"/>
        </w:rPr>
        <w:t xml:space="preserve">CTA: [Create Free Account] and [Contact Us About Partnerships]</w:t>
      </w:r>
    </w:p>
    <w:p>
      <w:pPr>
        <w:pStyle w:val="Heading2"/>
        <w:spacing w:after="120" w:before="320"/>
      </w:pPr>
      <w:r>
        <w:rPr>
          <w:rFonts w:ascii="Arial" w:cs="Arial" w:eastAsia="Arial" w:hAnsi="Arial"/>
          <w:b/>
          <w:bCs/>
          <w:color w:val="1A6B72"/>
          <w:sz w:val="28"/>
          <w:szCs w:val="28"/>
        </w:rPr>
        <w:t xml:space="preserve">Language Access Advocacy Page (/advocacy/) — NEW</w:t>
      </w:r>
    </w:p>
    <w:p>
      <w:pPr>
        <w:spacing w:after="100" w:before="60"/>
      </w:pPr>
      <w:r>
        <w:rPr>
          <w:rFonts w:ascii="Arial" w:cs="Arial" w:eastAsia="Arial" w:hAnsi="Arial"/>
          <w:b w:val="false"/>
          <w:bCs w:val="false"/>
          <w:i w:val="false"/>
          <w:iCs w:val="false"/>
          <w:color w:val="1C1C1E"/>
          <w:sz w:val="22"/>
          <w:szCs w:val="22"/>
        </w:rPr>
        <w:t xml:space="preserve">Hero: "Language access is a civil right."</w:t>
      </w:r>
    </w:p>
    <w:p>
      <w:pPr>
        <w:spacing w:after="100" w:before="60"/>
      </w:pPr>
      <w:r>
        <w:rPr>
          <w:rFonts w:ascii="Arial" w:cs="Arial" w:eastAsia="Arial" w:hAnsi="Arial"/>
          <w:b w:val="false"/>
          <w:bCs w:val="false"/>
          <w:i w:val="false"/>
          <w:iCs w:val="false"/>
          <w:color w:val="1C1C1E"/>
          <w:sz w:val="22"/>
          <w:szCs w:val="22"/>
        </w:rPr>
        <w:t xml:space="preserve">Three sections: (1) Legal landscape — Title VI, EO 13166, patient rights; (2) Legislation MSC supports — 3 bills listed in Part 2; (3) Get involved — volunteer, partner, follow advocacy work.</w:t>
      </w:r>
    </w:p>
    <w:p>
      <w:pPr>
        <w:spacing w:after="100" w:before="60"/>
      </w:pPr>
      <w:r>
        <w:rPr>
          <w:rFonts w:ascii="Arial" w:cs="Arial" w:eastAsia="Arial" w:hAnsi="Arial"/>
          <w:b w:val="false"/>
          <w:bCs w:val="false"/>
          <w:i w:val="false"/>
          <w:iCs w:val="false"/>
          <w:color w:val="1C1C1E"/>
          <w:sz w:val="22"/>
          <w:szCs w:val="22"/>
        </w:rPr>
        <w:t xml:space="preserve">Include downloadable resource placeholder: "Know Your Language Rights"</w:t>
      </w:r>
    </w:p>
    <w:p>
      <w:pPr>
        <w:pStyle w:val="Heading2"/>
        <w:spacing w:after="120" w:before="320"/>
      </w:pPr>
      <w:r>
        <w:rPr>
          <w:rFonts w:ascii="Arial" w:cs="Arial" w:eastAsia="Arial" w:hAnsi="Arial"/>
          <w:b/>
          <w:bCs/>
          <w:color w:val="1A6B72"/>
          <w:sz w:val="28"/>
          <w:szCs w:val="28"/>
        </w:rPr>
        <w:t xml:space="preserve">Partnerships / Partner Page (/partner/)</w:t>
      </w:r>
    </w:p>
    <w:p>
      <w:pPr>
        <w:spacing w:after="100" w:before="60"/>
      </w:pPr>
      <w:r>
        <w:rPr>
          <w:rFonts w:ascii="Arial" w:cs="Arial" w:eastAsia="Arial" w:hAnsi="Arial"/>
          <w:b w:val="false"/>
          <w:bCs w:val="false"/>
          <w:i w:val="false"/>
          <w:iCs w:val="false"/>
          <w:color w:val="1C1C1E"/>
          <w:sz w:val="22"/>
          <w:szCs w:val="22"/>
        </w:rPr>
        <w:t xml:space="preserve">Hero: "Partner with MSC"</w:t>
      </w:r>
    </w:p>
    <w:p>
      <w:pPr>
        <w:spacing w:after="100" w:before="60"/>
      </w:pPr>
      <w:r>
        <w:rPr>
          <w:rFonts w:ascii="Arial" w:cs="Arial" w:eastAsia="Arial" w:hAnsi="Arial"/>
          <w:b w:val="false"/>
          <w:bCs w:val="false"/>
          <w:i w:val="false"/>
          <w:iCs w:val="false"/>
          <w:color w:val="1C1C1E"/>
          <w:sz w:val="22"/>
          <w:szCs w:val="22"/>
        </w:rPr>
        <w:t xml:space="preserve">Four partnership types: healthcare organizations, universities/medical schools, K-12 schools/districts, community organizations.</w:t>
      </w:r>
    </w:p>
    <w:p>
      <w:pPr>
        <w:spacing w:after="100" w:before="60"/>
      </w:pPr>
      <w:r>
        <w:rPr>
          <w:rFonts w:ascii="Arial" w:cs="Arial" w:eastAsia="Arial" w:hAnsi="Arial"/>
          <w:b w:val="false"/>
          <w:bCs w:val="false"/>
          <w:i w:val="false"/>
          <w:iCs w:val="false"/>
          <w:color w:val="1C1C1E"/>
          <w:sz w:val="22"/>
          <w:szCs w:val="22"/>
        </w:rPr>
        <w:t xml:space="preserve">Each should describe what the partnership looks like and what both parties get.</w:t>
      </w:r>
    </w:p>
    <w:p>
      <w:pPr>
        <w:spacing w:after="100" w:before="60"/>
      </w:pPr>
      <w:r>
        <w:rPr>
          <w:rFonts w:ascii="Arial" w:cs="Arial" w:eastAsia="Arial" w:hAnsi="Arial"/>
          <w:b w:val="false"/>
          <w:bCs w:val="false"/>
          <w:i w:val="false"/>
          <w:iCs w:val="false"/>
          <w:color w:val="1C1C1E"/>
          <w:sz w:val="22"/>
          <w:szCs w:val="22"/>
        </w:rPr>
        <w:t xml:space="preserve">CTA: [Get In Touch] → /contact/</w:t>
      </w:r>
    </w:p>
    <w:p>
      <w:pPr>
        <w:pBdr>
          <w:bottom w:val="single" w:color="DDDDDD" w:sz="4" w:space="2"/>
        </w:pBdr>
        <w:spacing w:after="200" w:before="200"/>
      </w:pPr>
    </w:p>
    <w:p>
      <w:pPr>
        <w:pStyle w:val="Heading1"/>
        <w:pBdr>
          <w:bottom w:val="single" w:color="1A6B72" w:sz="6" w:space="4"/>
        </w:pBdr>
        <w:spacing w:after="160" w:before="400"/>
      </w:pPr>
      <w:r>
        <w:rPr>
          <w:rFonts w:ascii="Arial" w:cs="Arial" w:eastAsia="Arial" w:hAnsi="Arial"/>
          <w:b/>
          <w:bCs/>
          <w:color w:val="1A6B72"/>
          <w:sz w:val="36"/>
          <w:szCs w:val="36"/>
        </w:rPr>
        <w:t xml:space="preserve">Part 5: Immediate Cleanup Tasks</w:t>
      </w:r>
    </w:p>
    <w:p>
      <w:pPr>
        <w:spacing w:after="100" w:before="60"/>
      </w:pPr>
      <w:r>
        <w:rPr>
          <w:rFonts w:ascii="Arial" w:cs="Arial" w:eastAsia="Arial" w:hAnsi="Arial"/>
          <w:b w:val="false"/>
          <w:bCs w:val="false"/>
          <w:i w:val="false"/>
          <w:iCs w:val="false"/>
          <w:color w:val="1C1C1E"/>
          <w:sz w:val="22"/>
          <w:szCs w:val="22"/>
        </w:rPr>
        <w:t xml:space="preserve">Fix these before any redesign work — they actively harm credibility.</w:t>
      </w:r>
    </w:p>
    <w:p>
      <w:pPr>
        <w:spacing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5480"/>
      </w:tblGrid>
      <w:tr>
        <w:tc>
          <w:tcPr>
            <w:tcW w:type="dxa" w:w="144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4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548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Critical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demo blog post: "What are the easy dance form to learn for beginners?"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Critical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demo blog post: "Most essential UX design principle for new comers."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Critical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test text from About page: "qsandbox support: test. This is another text :)"</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Critical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third-party demo images (loading from themegrilldemos.com) with locally uploaded icons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Critical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or remove broken stat counters showing "0 k People Impacted" and "0 Years of Experience"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Critical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copyright year in footer from 2023 to 2026 (or dynamic PHP year)</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Critical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duplicate team bio block at bottom of About page (team listed twice)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6B00"/>
                <w:sz w:val="20"/>
                <w:szCs w:val="20"/>
              </w:rPr>
              <w:t xml:space="preserve">🟡 High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Soon</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Login, Register, Members, User, Account, Instructor Registration from primary nav</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6B00"/>
                <w:sz w:val="20"/>
                <w:szCs w:val="20"/>
              </w:rPr>
              <w:t xml:space="preserve">🟡 High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Soon</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 About MSC + About Us into single /about/ page; redirect /about-msc/ → /about/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6B00"/>
                <w:sz w:val="20"/>
                <w:szCs w:val="20"/>
              </w:rPr>
              <w:t xml:space="preserve">🟡 High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Soon</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blog sidebar (Recent Posts, Recent Comments) from About page template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6B00"/>
                <w:sz w:val="20"/>
                <w:szCs w:val="20"/>
              </w:rPr>
              <w:t xml:space="preserve">🟡 High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Soon</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site tagline everywhere to "Language Access | 501(c)3 Nonprofit"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6B00"/>
                <w:sz w:val="20"/>
                <w:szCs w:val="20"/>
              </w:rPr>
              <w:t xml:space="preserve">🟡 High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Soon</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homepage hero headline "Education for Everyone" with "Language is access."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6B00"/>
                <w:sz w:val="20"/>
                <w:szCs w:val="20"/>
              </w:rPr>
              <w:t xml:space="preserve">🟡 High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Soon</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generic CTA structure with single dominant CTA: "Start Learning Free"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72"/>
                <w:sz w:val="20"/>
                <w:szCs w:val="20"/>
              </w:rPr>
              <w:t xml:space="preserve">🟢 Polish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team bios with content from this brief</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72"/>
                <w:sz w:val="20"/>
                <w:szCs w:val="20"/>
              </w:rPr>
              <w:t xml:space="preserve">🟢 Polish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non-team member testimonials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72"/>
                <w:sz w:val="20"/>
                <w:szCs w:val="20"/>
              </w:rPr>
              <w:t xml:space="preserve">🟢 Polish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descriptions under resource category icons on homepage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72"/>
                <w:sz w:val="20"/>
                <w:szCs w:val="20"/>
              </w:rPr>
              <w:t xml:space="preserve">🟢 Polish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meta descriptions and site title per Part 6</w:t>
            </w:r>
          </w:p>
        </w:tc>
      </w:tr>
    </w:tbl>
    <w:p>
      <w:pPr>
        <w:pBdr>
          <w:bottom w:val="single" w:color="DDDDDD" w:sz="4" w:space="2"/>
        </w:pBdr>
        <w:spacing w:after="200" w:before="200"/>
      </w:pPr>
    </w:p>
    <w:p>
      <w:pPr>
        <w:pStyle w:val="Heading1"/>
        <w:pBdr>
          <w:bottom w:val="single" w:color="1A6B72" w:sz="6" w:space="4"/>
        </w:pBdr>
        <w:spacing w:after="160" w:before="400"/>
      </w:pPr>
      <w:r>
        <w:rPr>
          <w:rFonts w:ascii="Arial" w:cs="Arial" w:eastAsia="Arial" w:hAnsi="Arial"/>
          <w:b/>
          <w:bCs/>
          <w:color w:val="1A6B72"/>
          <w:sz w:val="36"/>
          <w:szCs w:val="36"/>
        </w:rPr>
        <w:t xml:space="preserve">Part 6: SEO &amp; Meta Updates</w:t>
      </w:r>
    </w:p>
    <w:p>
      <w:pPr>
        <w:spacing w:after="100" w:before="60"/>
      </w:pPr>
      <w:r>
        <w:rPr>
          <w:rFonts w:ascii="Arial" w:cs="Arial" w:eastAsia="Arial" w:hAnsi="Arial"/>
          <w:b/>
          <w:bCs/>
          <w:i w:val="false"/>
          <w:iCs w:val="false"/>
          <w:color w:val="1C1C1E"/>
          <w:sz w:val="22"/>
          <w:szCs w:val="22"/>
        </w:rPr>
        <w:t xml:space="preserve">Site title:</w:t>
      </w:r>
    </w:p>
    <w:p>
      <w:pPr>
        <w:spacing w:after="100" w:before="60"/>
      </w:pPr>
      <w:r>
        <w:rPr>
          <w:rFonts w:ascii="Arial" w:cs="Arial" w:eastAsia="Arial" w:hAnsi="Arial"/>
          <w:b w:val="false"/>
          <w:bCs w:val="false"/>
          <w:i w:val="false"/>
          <w:iCs w:val="false"/>
          <w:color w:val="1C1C1E"/>
          <w:sz w:val="22"/>
          <w:szCs w:val="22"/>
        </w:rPr>
        <w:t xml:space="preserve">Make Spanish Casual | Language Access Nonprofit</w:t>
      </w:r>
    </w:p>
    <w:p>
      <w:pPr>
        <w:spacing w:after="80"/>
      </w:pPr>
    </w:p>
    <w:p>
      <w:pPr>
        <w:spacing w:after="100" w:before="60"/>
      </w:pPr>
      <w:r>
        <w:rPr>
          <w:rFonts w:ascii="Arial" w:cs="Arial" w:eastAsia="Arial" w:hAnsi="Arial"/>
          <w:b/>
          <w:bCs/>
          <w:i w:val="false"/>
          <w:iCs w:val="false"/>
          <w:color w:val="1C1C1E"/>
          <w:sz w:val="22"/>
          <w:szCs w:val="22"/>
        </w:rPr>
        <w:t xml:space="preserve">Homepage meta description:</w:t>
      </w:r>
    </w:p>
    <w:p>
      <w:pPr>
        <w:spacing w:after="100" w:before="60"/>
      </w:pPr>
      <w:r>
        <w:rPr>
          <w:rFonts w:ascii="Arial" w:cs="Arial" w:eastAsia="Arial" w:hAnsi="Arial"/>
          <w:b w:val="false"/>
          <w:bCs w:val="false"/>
          <w:i w:val="false"/>
          <w:iCs w:val="false"/>
          <w:color w:val="1C1C1E"/>
          <w:sz w:val="22"/>
          <w:szCs w:val="22"/>
        </w:rPr>
        <w:t xml:space="preserve">Make Spanish Casual is a nonprofit advancing equitable language access through free, culturally authentic Spanish education — with a focus on healthcare settings where language barriers affect outcomes.</w:t>
      </w:r>
    </w:p>
    <w:p>
      <w:pPr>
        <w:spacing w:after="80"/>
      </w:pPr>
    </w:p>
    <w:p>
      <w:pPr>
        <w:spacing w:after="100" w:before="60"/>
      </w:pPr>
      <w:r>
        <w:rPr>
          <w:rFonts w:ascii="Arial" w:cs="Arial" w:eastAsia="Arial" w:hAnsi="Arial"/>
          <w:b/>
          <w:bCs/>
          <w:i w:val="false"/>
          <w:iCs w:val="false"/>
          <w:color w:val="1C1C1E"/>
          <w:sz w:val="22"/>
          <w:szCs w:val="22"/>
        </w:rPr>
        <w:t xml:space="preserve">About page meta description:</w:t>
      </w:r>
    </w:p>
    <w:p>
      <w:pPr>
        <w:spacing w:after="100" w:before="60"/>
      </w:pPr>
      <w:r>
        <w:rPr>
          <w:rFonts w:ascii="Arial" w:cs="Arial" w:eastAsia="Arial" w:hAnsi="Arial"/>
          <w:b w:val="false"/>
          <w:bCs w:val="false"/>
          <w:i w:val="false"/>
          <w:iCs w:val="false"/>
          <w:color w:val="1C1C1E"/>
          <w:sz w:val="22"/>
          <w:szCs w:val="22"/>
        </w:rPr>
        <w:t xml:space="preserve">Learn about Make Spanish Casual, a student-led 501(c)3 nonprofit founded by Jake Li, whose research and advocacy work connects authentic language education to health equity.</w:t>
      </w:r>
    </w:p>
    <w:p>
      <w:pPr>
        <w:spacing w:after="80"/>
      </w:pPr>
    </w:p>
    <w:p>
      <w:pPr>
        <w:spacing w:after="100" w:before="60"/>
      </w:pPr>
      <w:r>
        <w:rPr>
          <w:rFonts w:ascii="Arial" w:cs="Arial" w:eastAsia="Arial" w:hAnsi="Arial"/>
          <w:b/>
          <w:bCs/>
          <w:i w:val="false"/>
          <w:iCs w:val="false"/>
          <w:color w:val="1C1C1E"/>
          <w:sz w:val="22"/>
          <w:szCs w:val="22"/>
        </w:rPr>
        <w:t xml:space="preserve">Healthcare Spanish page meta description:</w:t>
      </w:r>
    </w:p>
    <w:p>
      <w:pPr>
        <w:spacing w:after="100" w:before="60"/>
      </w:pPr>
      <w:r>
        <w:rPr>
          <w:rFonts w:ascii="Arial" w:cs="Arial" w:eastAsia="Arial" w:hAnsi="Arial"/>
          <w:b w:val="false"/>
          <w:bCs w:val="false"/>
          <w:i w:val="false"/>
          <w:iCs w:val="false"/>
          <w:color w:val="1C1C1E"/>
          <w:sz w:val="22"/>
          <w:szCs w:val="22"/>
        </w:rPr>
        <w:t xml:space="preserve">Free training in culturally authentic medical Spanish for pre-health students, nursing students, and community health workers — designed for the clinical settings where communication failures cost lives.</w:t>
      </w:r>
    </w:p>
    <w:p>
      <w:pPr>
        <w:pBdr>
          <w:bottom w:val="single" w:color="DDDDDD" w:sz="4" w:space="2"/>
        </w:pBdr>
        <w:spacing w:after="200" w:before="200"/>
      </w:pPr>
    </w:p>
    <w:p>
      <w:pPr>
        <w:pStyle w:val="Heading1"/>
        <w:pBdr>
          <w:bottom w:val="single" w:color="1A6B72" w:sz="6" w:space="4"/>
        </w:pBdr>
        <w:spacing w:after="160" w:before="400"/>
      </w:pPr>
      <w:r>
        <w:rPr>
          <w:rFonts w:ascii="Arial" w:cs="Arial" w:eastAsia="Arial" w:hAnsi="Arial"/>
          <w:b/>
          <w:bCs/>
          <w:color w:val="1A6B72"/>
          <w:sz w:val="36"/>
          <w:szCs w:val="36"/>
        </w:rPr>
        <w:t xml:space="preserve">Part 7: Content to Preserve</w:t>
      </w:r>
    </w:p>
    <w:p>
      <w:pPr>
        <w:spacing w:after="100" w:before="60"/>
      </w:pPr>
      <w:r>
        <w:rPr>
          <w:rFonts w:ascii="Arial" w:cs="Arial" w:eastAsia="Arial" w:hAnsi="Arial"/>
          <w:b w:val="false"/>
          <w:bCs w:val="false"/>
          <w:i w:val="false"/>
          <w:iCs w:val="false"/>
          <w:color w:val="1C1C1E"/>
          <w:sz w:val="22"/>
          <w:szCs w:val="22"/>
        </w:rPr>
        <w:t xml:space="preserve">DO NOT delete any of the following:</w:t>
      </w:r>
    </w:p>
    <w:p>
      <w:pPr>
        <w:pStyle w:val="ListParagraph"/>
        <w:numPr>
          <w:ilvl w:val="0"/>
          <w:numId w:val="2"/>
        </w:numPr>
        <w:spacing w:after="40" w:before="40"/>
      </w:pPr>
      <w:r>
        <w:rPr>
          <w:rFonts w:ascii="Arial" w:cs="Arial" w:eastAsia="Arial" w:hAnsi="Arial"/>
          <w:sz w:val="22"/>
          <w:szCs w:val="22"/>
        </w:rPr>
        <w:t xml:space="preserve">All existing courses and course content</w:t>
      </w:r>
    </w:p>
    <w:p>
      <w:pPr>
        <w:pStyle w:val="ListParagraph"/>
        <w:numPr>
          <w:ilvl w:val="0"/>
          <w:numId w:val="2"/>
        </w:numPr>
        <w:spacing w:after="40" w:before="40"/>
      </w:pPr>
      <w:r>
        <w:rPr>
          <w:rFonts w:ascii="Arial" w:cs="Arial" w:eastAsia="Arial" w:hAnsi="Arial"/>
          <w:sz w:val="22"/>
          <w:szCs w:val="22"/>
        </w:rPr>
        <w:t xml:space="preserve">Resource center content (categories, uploaded materials)</w:t>
      </w:r>
    </w:p>
    <w:p>
      <w:pPr>
        <w:pStyle w:val="ListParagraph"/>
        <w:numPr>
          <w:ilvl w:val="0"/>
          <w:numId w:val="2"/>
        </w:numPr>
        <w:spacing w:after="40" w:before="40"/>
      </w:pPr>
      <w:r>
        <w:rPr>
          <w:rFonts w:ascii="Arial" w:cs="Arial" w:eastAsia="Arial" w:hAnsi="Arial"/>
          <w:sz w:val="22"/>
          <w:szCs w:val="22"/>
        </w:rPr>
        <w:t xml:space="preserve">Existing member accounts and user data</w:t>
      </w:r>
    </w:p>
    <w:p>
      <w:pPr>
        <w:pStyle w:val="ListParagraph"/>
        <w:numPr>
          <w:ilvl w:val="0"/>
          <w:numId w:val="2"/>
        </w:numPr>
        <w:spacing w:after="40" w:before="40"/>
      </w:pPr>
      <w:r>
        <w:rPr>
          <w:rFonts w:ascii="Arial" w:cs="Arial" w:eastAsia="Arial" w:hAnsi="Arial"/>
          <w:sz w:val="22"/>
          <w:szCs w:val="22"/>
        </w:rPr>
        <w:t xml:space="preserve">Donation page and payment integrations</w:t>
      </w:r>
    </w:p>
    <w:p>
      <w:pPr>
        <w:pStyle w:val="ListParagraph"/>
        <w:numPr>
          <w:ilvl w:val="0"/>
          <w:numId w:val="2"/>
        </w:numPr>
        <w:spacing w:after="40" w:before="40"/>
      </w:pPr>
      <w:r>
        <w:rPr>
          <w:rFonts w:ascii="Arial" w:cs="Arial" w:eastAsia="Arial" w:hAnsi="Arial"/>
          <w:sz w:val="22"/>
          <w:szCs w:val="22"/>
        </w:rPr>
        <w:t xml:space="preserve">Blog posts: ACTFL 2023, ACTFL 2024, ACTFL 2025, Dia de los Muertos</w:t>
      </w:r>
    </w:p>
    <w:p>
      <w:pPr>
        <w:pStyle w:val="ListParagraph"/>
        <w:numPr>
          <w:ilvl w:val="0"/>
          <w:numId w:val="2"/>
        </w:numPr>
        <w:spacing w:after="40" w:before="40"/>
      </w:pPr>
      <w:r>
        <w:rPr>
          <w:rFonts w:ascii="Arial" w:cs="Arial" w:eastAsia="Arial" w:hAnsi="Arial"/>
          <w:sz w:val="22"/>
          <w:szCs w:val="22"/>
        </w:rPr>
        <w:t xml:space="preserve">All legitimate team headshots in the media library</w:t>
      </w:r>
    </w:p>
    <w:p>
      <w:pPr>
        <w:pStyle w:val="ListParagraph"/>
        <w:numPr>
          <w:ilvl w:val="0"/>
          <w:numId w:val="2"/>
        </w:numPr>
        <w:spacing w:after="40" w:before="40"/>
      </w:pPr>
      <w:r>
        <w:rPr>
          <w:rFonts w:ascii="Arial" w:cs="Arial" w:eastAsia="Arial" w:hAnsi="Arial"/>
          <w:sz w:val="22"/>
          <w:szCs w:val="22"/>
        </w:rPr>
        <w:t xml:space="preserve">MSC logo (both versions)</w:t>
      </w:r>
    </w:p>
    <w:p>
      <w:pPr>
        <w:pBdr>
          <w:bottom w:val="single" w:color="DDDDDD" w:sz="4" w:space="2"/>
        </w:pBdr>
        <w:spacing w:after="200" w:before="200"/>
      </w:pPr>
    </w:p>
    <w:p>
      <w:pPr>
        <w:pStyle w:val="Heading1"/>
        <w:pBdr>
          <w:bottom w:val="single" w:color="1A6B72" w:sz="6" w:space="4"/>
        </w:pBdr>
        <w:spacing w:after="160" w:before="400"/>
      </w:pPr>
      <w:r>
        <w:rPr>
          <w:rFonts w:ascii="Arial" w:cs="Arial" w:eastAsia="Arial" w:hAnsi="Arial"/>
          <w:b/>
          <w:bCs/>
          <w:color w:val="1A6B72"/>
          <w:sz w:val="36"/>
          <w:szCs w:val="36"/>
        </w:rPr>
        <w:t xml:space="preserve">Part 8: Notes for Claude Code / Developer</w:t>
      </w:r>
    </w:p>
    <w:p>
      <w:pPr>
        <w:pStyle w:val="ListParagraph"/>
        <w:numPr>
          <w:ilvl w:val="0"/>
          <w:numId w:val="2"/>
        </w:numPr>
        <w:spacing w:after="40" w:before="40"/>
      </w:pPr>
      <w:r>
        <w:rPr>
          <w:rFonts w:ascii="Arial" w:cs="Arial" w:eastAsia="Arial" w:hAnsi="Arial"/>
          <w:sz w:val="22"/>
          <w:szCs w:val="22"/>
        </w:rPr>
        <w:t xml:space="preserve">WordPress/Elementor context: All edits should work within Elementor. Do not rebuild on a different framework unless something is technically impossible in this stack.</w:t>
      </w:r>
    </w:p>
    <w:p>
      <w:pPr>
        <w:pStyle w:val="ListParagraph"/>
        <w:numPr>
          <w:ilvl w:val="0"/>
          <w:numId w:val="2"/>
        </w:numPr>
        <w:spacing w:after="40" w:before="40"/>
      </w:pPr>
      <w:r>
        <w:rPr>
          <w:rFonts w:ascii="Arial" w:cs="Arial" w:eastAsia="Arial" w:hAnsi="Arial"/>
          <w:sz w:val="22"/>
          <w:szCs w:val="22"/>
        </w:rPr>
        <w:t xml:space="preserve">New pages: Create Programs, Healthcare Spanish, and Advocacy pages as standard WordPress pages using Elementor templates matching the updated site design.</w:t>
      </w:r>
    </w:p>
    <w:p>
      <w:pPr>
        <w:pStyle w:val="ListParagraph"/>
        <w:numPr>
          <w:ilvl w:val="0"/>
          <w:numId w:val="2"/>
        </w:numPr>
        <w:spacing w:after="40" w:before="40"/>
      </w:pPr>
      <w:r>
        <w:rPr>
          <w:rFonts w:ascii="Arial" w:cs="Arial" w:eastAsia="Arial" w:hAnsi="Arial"/>
          <w:sz w:val="22"/>
          <w:szCs w:val="22"/>
        </w:rPr>
        <w:t xml:space="preserve">Navigation: Use WordPress → Appearance → Menus to restructure. Keep "Sign In" as a separate button outside the primary menu, linking to /login/.</w:t>
      </w:r>
    </w:p>
    <w:p>
      <w:pPr>
        <w:pStyle w:val="ListParagraph"/>
        <w:numPr>
          <w:ilvl w:val="0"/>
          <w:numId w:val="2"/>
        </w:numPr>
        <w:spacing w:after="40" w:before="40"/>
      </w:pPr>
      <w:r>
        <w:rPr>
          <w:rFonts w:ascii="Arial" w:cs="Arial" w:eastAsia="Arial" w:hAnsi="Arial"/>
          <w:sz w:val="22"/>
          <w:szCs w:val="22"/>
        </w:rPr>
        <w:t xml:space="preserve">Stat counters: If rebuilding homepage stats with real numbers, use an Elementor counter widget. A safe org-specific stat: "500+ hours of language acquisition research conducted by MSC's founder."</w:t>
      </w:r>
    </w:p>
    <w:p>
      <w:pPr>
        <w:pStyle w:val="ListParagraph"/>
        <w:numPr>
          <w:ilvl w:val="0"/>
          <w:numId w:val="2"/>
        </w:numPr>
        <w:spacing w:after="40" w:before="40"/>
      </w:pPr>
      <w:r>
        <w:rPr>
          <w:rFonts w:ascii="Arial" w:cs="Arial" w:eastAsia="Arial" w:hAnsi="Arial"/>
          <w:sz w:val="22"/>
          <w:szCs w:val="22"/>
        </w:rPr>
        <w:t xml:space="preserve">Images: All images used in new pages must be uploaded to the WordPress media library. No external image hosting.</w:t>
      </w:r>
    </w:p>
    <w:p>
      <w:pPr>
        <w:pStyle w:val="ListParagraph"/>
        <w:numPr>
          <w:ilvl w:val="0"/>
          <w:numId w:val="2"/>
        </w:numPr>
        <w:spacing w:after="40" w:before="40"/>
      </w:pPr>
      <w:r>
        <w:rPr>
          <w:rFonts w:ascii="Arial" w:cs="Arial" w:eastAsia="Arial" w:hAnsi="Arial"/>
          <w:sz w:val="22"/>
          <w:szCs w:val="22"/>
        </w:rPr>
        <w:t xml:space="preserve">Brand colors: Set new palette in Elementor → Site Settings → Global Colors so changes propagate site-wide.</w:t>
      </w:r>
    </w:p>
    <w:p>
      <w:pPr>
        <w:pStyle w:val="ListParagraph"/>
        <w:numPr>
          <w:ilvl w:val="0"/>
          <w:numId w:val="2"/>
        </w:numPr>
        <w:spacing w:after="40" w:before="40"/>
      </w:pPr>
      <w:r>
        <w:rPr>
          <w:rFonts w:ascii="Arial" w:cs="Arial" w:eastAsia="Arial" w:hAnsi="Arial"/>
          <w:sz w:val="22"/>
          <w:szCs w:val="22"/>
        </w:rPr>
        <w:t xml:space="preserve">Blog cleanup: Delete the two demo posts from WordPress Admin → Posts → trash permanently. Unpublishing is not sufficient — delete so they are not indexed.</w:t>
      </w:r>
    </w:p>
    <w:p>
      <w:pPr>
        <w:pStyle w:val="ListParagraph"/>
        <w:numPr>
          <w:ilvl w:val="0"/>
          <w:numId w:val="2"/>
        </w:numPr>
        <w:spacing w:after="40" w:before="40"/>
      </w:pPr>
      <w:r>
        <w:rPr>
          <w:rFonts w:ascii="Arial" w:cs="Arial" w:eastAsia="Arial" w:hAnsi="Arial"/>
          <w:sz w:val="22"/>
          <w:szCs w:val="22"/>
        </w:rPr>
        <w:t xml:space="preserve">About page consolidation: Set /about/ as the canonical URL. Add 301 redirect from /about-msc/ to /about/. Update all internal links.</w:t>
      </w:r>
    </w:p>
    <w:p>
      <w:pPr>
        <w:pStyle w:val="ListParagraph"/>
        <w:numPr>
          <w:ilvl w:val="0"/>
          <w:numId w:val="2"/>
        </w:numPr>
        <w:spacing w:after="40" w:before="40"/>
      </w:pPr>
      <w:r>
        <w:rPr>
          <w:rFonts w:ascii="Arial" w:cs="Arial" w:eastAsia="Arial" w:hAnsi="Arial"/>
          <w:sz w:val="22"/>
          <w:szCs w:val="22"/>
        </w:rPr>
        <w:t xml:space="preserve">Mobile: All new pages and redesigned sections must be responsive. Test at 375px, 768px, and 1280px.</w:t>
      </w:r>
    </w:p>
    <w:p>
      <w:pPr>
        <w:pStyle w:val="ListParagraph"/>
        <w:numPr>
          <w:ilvl w:val="0"/>
          <w:numId w:val="2"/>
        </w:numPr>
        <w:spacing w:after="40" w:before="40"/>
      </w:pPr>
      <w:r>
        <w:rPr>
          <w:rFonts w:ascii="Arial" w:cs="Arial" w:eastAsia="Arial" w:hAnsi="Arial"/>
          <w:sz w:val="22"/>
          <w:szCs w:val="22"/>
        </w:rPr>
        <w:t xml:space="preserve">Accessibility: Maintain WCAG 2.1 AA compliance — alt text on all images, sufficient color contrast with new palette, keyboard-navigable interactive elements.</w:t>
      </w:r>
    </w:p>
    <w:p>
      <w:pPr>
        <w:spacing w:after="400"/>
      </w:pPr>
    </w:p>
    <w:p>
      <w:pPr>
        <w:pBdr>
          <w:bottom w:val="single" w:color="DDDDDD" w:sz="4" w:space="2"/>
        </w:pBdr>
        <w:spacing w:after="200" w:before="200"/>
      </w:pPr>
    </w:p>
    <w:p>
      <w:pPr>
        <w:spacing w:before="200"/>
        <w:jc w:val="center"/>
      </w:pPr>
      <w:r>
        <w:rPr>
          <w:rFonts w:ascii="Arial" w:cs="Arial" w:eastAsia="Arial" w:hAnsi="Arial"/>
          <w:i/>
          <w:iCs/>
          <w:color w:val="555555"/>
          <w:sz w:val="20"/>
          <w:szCs w:val="20"/>
        </w:rPr>
        <w:t xml:space="preserve">End of Brief  |  Questions: jake@makespanishcasual.org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55555"/>
        <w:sz w:val="18"/>
        <w:szCs w:val="18"/>
      </w:rPr>
      <w:t xml:space="preserve">Confidential — For Implementation Use | June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rFonts w:ascii="Arial" w:cs="Arial" w:eastAsia="Arial" w:hAnsi="Arial"/>
        <w:color w:val="555555"/>
        <w:sz w:val="18"/>
        <w:szCs w:val="18"/>
      </w:rPr>
      <w:t xml:space="preserve">Make Spanish Casual — Complete Rebranding Brief</w:t>
    </w:r>
    <w:r>
      <w:rPr>
        <w:sz w:val="18"/>
        <w:szCs w:val="18"/>
      </w:rPr>
      <w:t xml:space="preserve">	</w:t>
    </w:r>
    <w:r>
      <w:rPr>
        <w:rFonts w:ascii="Arial" w:cs="Arial" w:eastAsia="Arial" w:hAnsi="Arial"/>
        <w:color w:val="1A6B72"/>
        <w:sz w:val="18"/>
        <w:szCs w:val="18"/>
      </w:rPr>
      <w:t xml:space="preserve">makespanishcasual.org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7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6B72"/>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2026-06-05T18:24:14.843Z</dcterms:created>
  <dcterms:modified xsi:type="dcterms:W3CDTF">2026-06-05T18:24:14.844Z</dcterms:modified>
</cp:coreProperties>
</file>

<file path=docProps/custom.xml><?xml version="1.0" encoding="utf-8"?>
<Properties xmlns="http://schemas.openxmlformats.org/officeDocument/2006/custom-properties" xmlns:vt="http://schemas.openxmlformats.org/officeDocument/2006/docPropsVTypes"/>
</file>