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Harbor Electric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b/>
          <w:color w:val="333333"/>
          <w:sz w:val="40"/>
        </w:rPr>
        <w:t>FINANCIAL REVIEW</w:t>
      </w:r>
    </w:p>
    <w:p>
      <w:pPr>
        <w:spacing w:after="480"/>
        <w:jc w:val="center"/>
      </w:pPr>
      <w:r>
        <w:rPr>
          <w:b/>
          <w:color w:val="1F4E79"/>
          <w:sz w:val="32"/>
        </w:rPr>
        <w:t>March 2026</w:t>
      </w:r>
    </w:p>
    <w:p>
      <w:pPr>
        <w:spacing w:after="0"/>
        <w:jc w:val="center"/>
      </w:pPr>
      <w:r>
        <w:rPr>
          <w:color w:val="666666"/>
          <w:sz w:val="24"/>
        </w:rPr>
        <w:t>Prepared: April 22,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color w:val="333333"/>
          <w:sz w:val="22"/>
        </w:rPr>
        <w:t>March revenue $438K, +6.4% over $412K target. Net margin 3.1% vs. 1.7% target. Labor ran hot by $8.4K on the DC-11 punch list but gross margin held at 28.3%. Retention of $42K on DC-09 is 38 days outstanding and is the single biggest working-capital drag.</w:t>
      </w:r>
    </w:p>
    <w:p/>
    <w:p>
      <w:pPr>
        <w:pStyle w:val="Heading1"/>
      </w:pPr>
      <w:r>
        <w:t>Revenue Analysis</w:t>
      </w:r>
    </w:p>
    <w:p/>
    <w:p>
      <w:pPr>
        <w:pStyle w:val="Heading1"/>
      </w:pPr>
      <w:r>
        <w:t>Cost Analysis</w:t>
      </w:r>
    </w:p>
    <w:p/>
    <w:p>
      <w:pPr>
        <w:pStyle w:val="Heading1"/>
      </w:pPr>
      <w:r>
        <w:t>Cash Flow Assessment</w:t>
      </w:r>
    </w:p>
    <w:p/>
    <w:p>
      <w:pPr>
        <w:pStyle w:val="Heading1"/>
      </w:pPr>
      <w:r>
        <w:t>Key Ratios &amp;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Your Value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0.283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Net Margin</w:t>
            </w:r>
          </w:p>
        </w:tc>
        <w:tc>
          <w:tcPr>
            <w:tcW w:type="dxa" w:w="2160"/>
          </w:tcPr>
          <w:p>
            <w:r>
              <w:t>0.031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Labor % of Revenue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Days Sales Outstanding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</w:tbl>
    <w:p/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Expected Impact</w:t>
            </w:r>
          </w:p>
        </w:tc>
      </w:tr>
      <w:tr>
        <w:tc>
          <w:tcPr>
            <w:tcW w:type="dxa" w:w="2880"/>
            <w:shd w:fill="FCE4EC" w:val="clear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Close DC-11 punch list by April 12</w:t>
            </w:r>
          </w:p>
        </w:tc>
        <w:tc>
          <w:tcPr>
            <w:tcW w:type="dxa" w:w="2880"/>
          </w:tcPr>
          <w:p>
            <w:r>
              <w:t>$18K labor at risk if slippage continues</w:t>
            </w:r>
          </w:p>
        </w:tc>
      </w:tr>
      <w:tr>
        <w:tc>
          <w:tcPr>
            <w:tcW w:type="dxa" w:w="2880"/>
            <w:shd w:fill="FCE4EC" w:val="clear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Invoice Meridian for DC-09 retention</w:t>
            </w:r>
          </w:p>
        </w:tc>
        <w:tc>
          <w:tcPr>
            <w:tcW w:type="dxa" w:w="2880"/>
          </w:tcPr>
          <w:p>
            <w:r>
              <w:t>$42K cash, 38 days outstanding</w:t>
            </w:r>
          </w:p>
        </w:tc>
      </w:tr>
      <w:tr>
        <w:tc>
          <w:tcPr>
            <w:tcW w:type="dxa" w:w="2880"/>
            <w:shd w:fill="FFF2CC" w:val="clear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Re-bid DC-14 with +2% contingency before April 20</w:t>
            </w:r>
          </w:p>
        </w:tc>
        <w:tc>
          <w:tcPr>
            <w:tcW w:type="dxa" w:w="2880"/>
          </w:tcPr>
          <w:p>
            <w:r>
              <w:t>Protects margin against switchgear lead-time risk</w:t>
            </w:r>
          </w:p>
        </w:tc>
      </w:tr>
      <w:tr>
        <w:tc>
          <w:tcPr>
            <w:tcW w:type="dxa" w:w="2880"/>
            <w:shd w:fill="E2EFDA" w:val="clear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Schedule Q2 safety refresher for new apprentices</w:t>
            </w:r>
          </w:p>
        </w:tc>
        <w:tc>
          <w:tcPr>
            <w:tcW w:type="dxa" w:w="2880"/>
          </w:tcPr>
          <w:p>
            <w:r>
              <w:t>Maintains zero-recordable record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