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spacing w:after="240"/>
        <w:jc w:val="center"/>
      </w:pPr>
      <w:r>
        <w:rPr>
          <w:b/>
          <w:color w:val="1F4E79"/>
          <w:sz w:val="56"/>
        </w:rPr>
        <w:t>Verification Test LLC</w:t>
      </w:r>
    </w:p>
    <w:p>
      <w:pPr>
        <w:spacing w:after="480"/>
        <w:jc w:val="center"/>
      </w:pPr>
      <w:r>
        <w:rPr>
          <w:color w:val="666666"/>
          <w:sz w:val="24"/>
        </w:rPr>
        <w:t>━━━━━━━━━━━━━━━━━━━━━━━━━━━━━━━━━━━━━━━━</w:t>
      </w:r>
    </w:p>
    <w:p>
      <w:pPr>
        <w:spacing w:after="240"/>
        <w:jc w:val="center"/>
      </w:pPr>
      <w:r>
        <w:rPr>
          <w:b/>
          <w:color w:val="333333"/>
          <w:sz w:val="40"/>
        </w:rPr>
        <w:t>COMPETITIVE ANALYSIS</w:t>
      </w:r>
    </w:p>
    <w:p>
      <w:pPr>
        <w:spacing w:after="480"/>
        <w:jc w:val="center"/>
      </w:pPr>
      <w:r>
        <w:rPr>
          <w:color w:val="1F4E79"/>
          <w:sz w:val="28"/>
        </w:rPr>
        <w:t>Ashburn / Loudoun County, VA</w:t>
      </w:r>
    </w:p>
    <w:p>
      <w:pPr>
        <w:spacing w:after="120"/>
        <w:jc w:val="center"/>
      </w:pPr>
      <w:r>
        <w:rPr>
          <w:color w:val="666666"/>
          <w:sz w:val="24"/>
        </w:rPr>
        <w:t>April 2026</w:t>
      </w:r>
    </w:p>
    <w:p>
      <w:r>
        <w:br w:type="page"/>
      </w:r>
    </w:p>
    <w:p>
      <w:pPr>
        <w:pStyle w:val="Heading1"/>
      </w:pPr>
      <w:r>
        <w:t>Market Overview</w:t>
      </w:r>
    </w:p>
    <w:p>
      <w:pPr>
        <w:spacing w:after="120"/>
      </w:pPr>
      <w:r>
        <w:rPr>
          <w:color w:val="333333"/>
          <w:sz w:val="22"/>
        </w:rPr>
        <w:t>The Ashburn data-center corridor is the largest concentration of hyperscale and colocation build-out in North America. Annual electrical spend exceeds $1.8B across 20+ active campuses. Sub-$5M rough-ins are consistently under-served by national primes.</w:t>
      </w:r>
    </w:p>
    <w:p/>
    <w:p>
      <w:pPr>
        <w:pStyle w:val="Heading1"/>
      </w:pPr>
      <w:r>
        <w:t>Competitor Profiles</w:t>
      </w:r>
    </w:p>
    <w:p>
      <w:pPr>
        <w:pStyle w:val="Heading2"/>
      </w:pPr>
      <w:r>
        <w:t>Comparison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F4E79" w:val="clear"/>
          </w:tcPr>
          <w:p>
            <w:r>
              <w:rPr>
                <w:b/>
                <w:color w:val="FFFFFF"/>
              </w:rPr>
              <w:t>Competitor</w:t>
            </w:r>
          </w:p>
        </w:tc>
        <w:tc>
          <w:tcPr>
            <w:tcW w:type="dxa" w:w="1728"/>
            <w:shd w:fill="1F4E79" w:val="clear"/>
          </w:tcPr>
          <w:p>
            <w:r>
              <w:rPr>
                <w:b/>
                <w:color w:val="FFFFFF"/>
              </w:rPr>
              <w:t>Services</w:t>
            </w:r>
          </w:p>
        </w:tc>
        <w:tc>
          <w:tcPr>
            <w:tcW w:type="dxa" w:w="1728"/>
            <w:shd w:fill="1F4E79" w:val="clear"/>
          </w:tcPr>
          <w:p>
            <w:r>
              <w:rPr>
                <w:b/>
                <w:color w:val="FFFFFF"/>
              </w:rPr>
              <w:t>Estimated Revenue</w:t>
            </w:r>
          </w:p>
        </w:tc>
        <w:tc>
          <w:tcPr>
            <w:tcW w:type="dxa" w:w="1728"/>
            <w:shd w:fill="1F4E79" w:val="clear"/>
          </w:tcPr>
          <w:p>
            <w:r>
              <w:rPr>
                <w:b/>
                <w:color w:val="FFFFFF"/>
              </w:rPr>
              <w:t>Strengths</w:t>
            </w:r>
          </w:p>
        </w:tc>
        <w:tc>
          <w:tcPr>
            <w:tcW w:type="dxa" w:w="1728"/>
            <w:shd w:fill="1F4E79" w:val="clear"/>
          </w:tcPr>
          <w:p>
            <w:r>
              <w:rPr>
                <w:b/>
                <w:color w:val="FFFFFF"/>
              </w:rPr>
              <w:t>Weaknesses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Power Design Inc.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Mona Electric Group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Rosendin Electric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Power Design Inc.</w:t>
      </w:r>
    </w:p>
    <w:p>
      <w:pPr>
        <w:pStyle w:val="Heading2"/>
      </w:pPr>
      <w:r>
        <w:t>Mona Electric Group</w:t>
      </w:r>
    </w:p>
    <w:p>
      <w:pPr>
        <w:pStyle w:val="Heading2"/>
      </w:pPr>
      <w:r>
        <w:t>Rosendin Electric</w:t>
      </w:r>
    </w:p>
    <w:p/>
    <w:p>
      <w:pPr>
        <w:pStyle w:val="Heading1"/>
      </w:pPr>
      <w:r>
        <w:t>SWOT Analysis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E79" w:val="clear"/>
          </w:tcPr>
          <w:p>
            <w:r>
              <w:rPr>
                <w:b/>
                <w:color w:val="FFFFFF"/>
              </w:rPr>
              <w:t>Internal</w:t>
            </w:r>
          </w:p>
        </w:tc>
        <w:tc>
          <w:tcPr>
            <w:tcW w:type="dxa" w:w="4320"/>
            <w:shd w:fill="1F4E79" w:val="clear"/>
          </w:tcPr>
          <w:p>
            <w:r>
              <w:rPr>
                <w:b/>
                <w:color w:val="FFFFFF"/>
              </w:rPr>
              <w:t>External</w:t>
            </w:r>
          </w:p>
        </w:tc>
      </w:tr>
      <w:tr>
        <w:tc>
          <w:tcPr>
            <w:tcW w:type="dxa" w:w="4320"/>
            <w:shd w:fill="E2EFDA" w:val="clear"/>
          </w:tcPr>
          <w:p>
            <w:r>
              <w:t>STRENGTHS</w:t>
              <w:br/>
              <w:t>+ Data-center-only focus</w:t>
              <w:br/>
              <w:t>+ 22 journeymen + 8 apprentices ready to mobilize</w:t>
              <w:br/>
              <w:t>+ 100% on-time completion 2024-2025</w:t>
              <w:br/>
              <w:t>+ Zero OSHA recordables in 3.8M hours</w:t>
            </w:r>
          </w:p>
        </w:tc>
        <w:tc>
          <w:tcPr>
            <w:tcW w:type="dxa" w:w="4320"/>
            <w:shd w:fill="E2EFDA" w:val="clear"/>
          </w:tcPr>
          <w:p>
            <w:r>
              <w:t>OPPORTUNITIES</w:t>
              <w:br/>
              <w:t>+ Sub-$5M rough-in niche is under-served by nationals</w:t>
              <w:br/>
              <w:t>+ Meridian Construction pipeline expanding into 2027</w:t>
              <w:br/>
              <w:t>+ Compass Data Centers issuing five RFPs in next 6 months</w:t>
            </w:r>
          </w:p>
        </w:tc>
      </w:tr>
      <w:tr>
        <w:tc>
          <w:tcPr>
            <w:tcW w:type="dxa" w:w="4320"/>
            <w:shd w:fill="FCE4EC" w:val="clear"/>
          </w:tcPr>
          <w:p>
            <w:r>
              <w:t>WEAKNESSES</w:t>
              <w:br/>
              <w:t>- No presence outside Northern Virginia</w:t>
              <w:br/>
              <w:t>- Limited brand recognition vs. national primes</w:t>
              <w:br/>
              <w:t>- Smaller bonding capacity than tier-1 competitors</w:t>
            </w:r>
          </w:p>
        </w:tc>
        <w:tc>
          <w:tcPr>
            <w:tcW w:type="dxa" w:w="4320"/>
            <w:shd w:fill="FCE4EC" w:val="clear"/>
          </w:tcPr>
          <w:p>
            <w:r>
              <w:t>THREATS</w:t>
              <w:br/>
              <w:t>- Rising apprentice wages compressing labor margin</w:t>
              <w:br/>
              <w:t>- Supply-chain risk on 200A+ switchgear (24-week lead times)</w:t>
              <w:br/>
              <w:t>- New non-union competitors entering the corridor</w:t>
            </w:r>
          </w:p>
        </w:tc>
      </w:tr>
    </w:tbl>
    <w:p/>
    <w:p>
      <w:pPr>
        <w:pStyle w:val="Heading1"/>
      </w:pPr>
      <w:r>
        <w:t>Positioning Recommendations</w:t>
      </w:r>
    </w:p>
    <w:p>
      <w:pPr>
        <w:spacing w:after="120"/>
      </w:pPr>
      <w:r>
        <w:rPr>
          <w:color w:val="333333"/>
          <w:sz w:val="22"/>
        </w:rPr>
        <w:t>1. Position as the 'responsive sub-$5M DC specialist' in all Meridian and Compass bid responses.</w:t>
      </w:r>
    </w:p>
    <w:p>
      <w:pPr>
        <w:spacing w:after="120"/>
      </w:pPr>
      <w:r>
        <w:rPr>
          <w:color w:val="333333"/>
          <w:sz w:val="22"/>
        </w:rPr>
        <w:t>2. Emphasize schedule certainty and owner-on-site in marketing.</w:t>
      </w:r>
    </w:p>
    <w:p>
      <w:pPr>
        <w:spacing w:after="120"/>
      </w:pPr>
      <w:r>
        <w:rPr>
          <w:color w:val="333333"/>
          <w:sz w:val="22"/>
        </w:rPr>
        <w:t>3. Pre-buy switchgear on top 3 pursuits to lock in lead times.</w:t>
      </w:r>
    </w:p>
    <w:p>
      <w:pPr>
        <w:spacing w:after="120"/>
      </w:pPr>
      <w:r>
        <w:rPr>
          <w:color w:val="333333"/>
          <w:sz w:val="22"/>
        </w:rPr>
        <w:t>4. Expand to 28 journeymen by Q3 2026 to absorb Compass pipeline.</w:t>
      </w:r>
    </w:p>
    <w:p/>
    <w:p>
      <w:pPr>
        <w:jc w:val="center"/>
      </w:pPr>
      <w:r>
        <w:rPr>
          <w:i/>
          <w:color w:val="808080"/>
          <w:sz w:val="16"/>
        </w:rPr>
        <w:t>Generated by Endall | endall.ai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4E7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