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40"/>
        <w:jc w:val="center"/>
      </w:pPr>
      <w:r>
        <w:rPr>
          <w:b/>
          <w:color w:val="1F4E79"/>
          <w:sz w:val="56"/>
        </w:rPr>
        <w:t>Verification Test LLC</w:t>
      </w:r>
    </w:p>
    <w:p>
      <w:pPr>
        <w:spacing w:after="480"/>
        <w:jc w:val="center"/>
      </w:pPr>
      <w:r>
        <w:rPr>
          <w:color w:val="666666"/>
          <w:sz w:val="24"/>
        </w:rPr>
        <w:t>━━━━━━━━━━━━━━━━━━━━━━━━━━━━━━━━━━━━━━━━</w:t>
      </w:r>
    </w:p>
    <w:p>
      <w:pPr>
        <w:spacing w:after="360"/>
        <w:jc w:val="center"/>
      </w:pPr>
      <w:r>
        <w:rPr>
          <w:b/>
          <w:color w:val="333333"/>
          <w:sz w:val="40"/>
        </w:rPr>
        <w:t>PROJECT PROPOSAL</w:t>
      </w:r>
    </w:p>
    <w:p>
      <w:pPr>
        <w:spacing w:after="480"/>
        <w:jc w:val="center"/>
      </w:pPr>
      <w:r>
        <w:rPr>
          <w:b/>
          <w:color w:val="1F4E79"/>
          <w:sz w:val="32"/>
        </w:rPr>
        <w:t>DC-14 Electrical Rough-In</w:t>
      </w:r>
    </w:p>
    <w:p>
      <w:pPr>
        <w:spacing w:after="80"/>
        <w:jc w:val="center"/>
      </w:pPr>
      <w:r>
        <w:rPr>
          <w:i/>
          <w:color w:val="666666"/>
          <w:sz w:val="24"/>
        </w:rPr>
        <w:t>Prepared for:</w:t>
      </w:r>
    </w:p>
    <w:p>
      <w:pPr>
        <w:spacing w:after="80"/>
        <w:jc w:val="center"/>
      </w:pPr>
      <w:r>
        <w:rPr>
          <w:b/>
          <w:color w:val="333333"/>
          <w:sz w:val="28"/>
        </w:rPr>
        <w:t>Meridian Construction</w:t>
      </w:r>
    </w:p>
    <w:p>
      <w:pPr>
        <w:spacing w:after="480"/>
        <w:jc w:val="center"/>
      </w:pPr>
      <w:r>
        <w:rPr>
          <w:color w:val="666666"/>
          <w:sz w:val="22"/>
        </w:rPr>
        <w:t>Ashburn, VA</w:t>
      </w:r>
    </w:p>
    <w:p>
      <w:pPr>
        <w:spacing w:after="0"/>
        <w:jc w:val="center"/>
      </w:pPr>
      <w:r>
        <w:rPr>
          <w:color w:val="666666"/>
          <w:sz w:val="24"/>
        </w:rPr>
        <w:t>April 22, 2026</w:t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spacing w:after="120"/>
      </w:pPr>
      <w:r>
        <w:rPr>
          <w:color w:val="333333"/>
          <w:sz w:val="22"/>
        </w:rPr>
        <w:t>Verification Test LLC proposes to deliver the Ashburn DC-14 data-center electrical rough-in on a GMP basis. Scope covers 200,000 SF of shell work, all switchgear and distribution, lighting, devices, and commissioning. Mobilization May 1, 2026; complete October 1, 2026.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</w:rPr>
              <w:t>Total Price</w:t>
            </w:r>
          </w:p>
        </w:tc>
        <w:tc>
          <w:tcPr>
            <w:tcW w:type="dxa" w:w="4320"/>
          </w:tcPr>
          <w:p>
            <w:r>
              <w:t>$98,784</w:t>
            </w:r>
          </w:p>
        </w:tc>
      </w:tr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</w:rPr>
              <w:t>Timeline</w:t>
            </w:r>
          </w:p>
        </w:tc>
        <w:tc>
          <w:tcPr>
            <w:tcW w:type="dxa" w:w="4320"/>
          </w:tcPr>
          <w:p>
            <w:r>
              <w:t>22 weeks</w:t>
            </w:r>
          </w:p>
        </w:tc>
      </w:tr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</w:rPr>
              <w:t>Payment Terms</w:t>
            </w:r>
          </w:p>
        </w:tc>
        <w:tc>
          <w:tcPr>
            <w:tcW w:type="dxa" w:w="4320"/>
          </w:tcPr>
          <w:p>
            <w:r>
              <w:t>Monthly, 10% Holdback (Retention)</w:t>
            </w:r>
          </w:p>
        </w:tc>
      </w:tr>
    </w:tbl>
    <w:p/>
    <w:p>
      <w:pPr>
        <w:pStyle w:val="Heading1"/>
      </w:pPr>
      <w:r>
        <w:t>Scope of Work</w:t>
      </w:r>
    </w:p>
    <w:p>
      <w:pPr>
        <w:spacing w:after="120"/>
      </w:pPr>
      <w:r>
        <w:rPr>
          <w:color w:val="333333"/>
          <w:sz w:val="22"/>
        </w:rPr>
        <w:t>This proposal covers the full electrical rough-in for the Ashburn DC-14 data-center shell. Work includes 200A main switchgear installation, three 75kVA step-down transformers, eight 42-circuit branch panelboards, 600A feeder runs, complete conduit and wire rough-in, 160 LED 2x4 fixtures, 340 devices, and full testing + commissioning prior to substantial completion.</w:t>
      </w:r>
    </w:p>
    <w:p/>
    <w:p>
      <w:pPr>
        <w:pStyle w:val="Heading2"/>
      </w:pPr>
      <w:r>
        <w:t>Labor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</w:rPr>
              <w:t>Amount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$82,320</w:t>
            </w:r>
          </w:p>
        </w:tc>
      </w:tr>
    </w:tbl>
    <w:p/>
    <w:p>
      <w:pPr>
        <w:pStyle w:val="Heading2"/>
      </w:pPr>
      <w:r>
        <w:t>Materials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>x 0</w:t>
            </w:r>
          </w:p>
        </w:tc>
        <w:tc>
          <w:tcPr>
            <w:tcW w:type="dxa" w:w="4320"/>
          </w:tcPr>
          <w:p>
            <w:r>
              <w:t>$0</w:t>
            </w:r>
          </w:p>
        </w:tc>
      </w:tr>
      <w:tr>
        <w:tc>
          <w:tcPr>
            <w:tcW w:type="dxa" w:w="4320"/>
          </w:tcPr>
          <w:p>
            <w:r>
              <w:t>x 0</w:t>
            </w:r>
          </w:p>
        </w:tc>
        <w:tc>
          <w:tcPr>
            <w:tcW w:type="dxa" w:w="4320"/>
          </w:tcPr>
          <w:p>
            <w:r>
              <w:t>$0</w:t>
            </w:r>
          </w:p>
        </w:tc>
      </w:tr>
      <w:tr>
        <w:tc>
          <w:tcPr>
            <w:tcW w:type="dxa" w:w="4320"/>
          </w:tcPr>
          <w:p>
            <w:r>
              <w:t>x 0</w:t>
            </w:r>
          </w:p>
        </w:tc>
        <w:tc>
          <w:tcPr>
            <w:tcW w:type="dxa" w:w="4320"/>
          </w:tcPr>
          <w:p>
            <w:r>
              <w:t>$0</w:t>
            </w:r>
          </w:p>
        </w:tc>
      </w:tr>
      <w:tr>
        <w:tc>
          <w:tcPr>
            <w:tcW w:type="dxa" w:w="4320"/>
          </w:tcPr>
          <w:p>
            <w:r>
              <w:t>x 0</w:t>
            </w:r>
          </w:p>
        </w:tc>
        <w:tc>
          <w:tcPr>
            <w:tcW w:type="dxa" w:w="4320"/>
          </w:tcPr>
          <w:p>
            <w:r>
              <w:t>$0</w:t>
            </w:r>
          </w:p>
        </w:tc>
      </w:tr>
      <w:tr>
        <w:tc>
          <w:tcPr>
            <w:tcW w:type="dxa" w:w="4320"/>
          </w:tcPr>
          <w:p>
            <w:r>
              <w:t>x 0</w:t>
            </w:r>
          </w:p>
        </w:tc>
        <w:tc>
          <w:tcPr>
            <w:tcW w:type="dxa" w:w="4320"/>
          </w:tcPr>
          <w:p>
            <w:r>
              <w:t>$0</w:t>
            </w:r>
          </w:p>
        </w:tc>
      </w:tr>
      <w:tr>
        <w:tc>
          <w:tcPr>
            <w:tcW w:type="dxa" w:w="4320"/>
          </w:tcPr>
          <w:p>
            <w:r>
              <w:t>x 0</w:t>
            </w:r>
          </w:p>
        </w:tc>
        <w:tc>
          <w:tcPr>
            <w:tcW w:type="dxa" w:w="4320"/>
          </w:tcPr>
          <w:p>
            <w:r>
              <w:t>$0</w:t>
            </w:r>
          </w:p>
        </w:tc>
      </w:tr>
      <w:tr>
        <w:tc>
          <w:tcPr>
            <w:tcW w:type="dxa" w:w="4320"/>
          </w:tcPr>
          <w:p>
            <w:r>
              <w:t>x 0</w:t>
            </w:r>
          </w:p>
        </w:tc>
        <w:tc>
          <w:tcPr>
            <w:tcW w:type="dxa" w:w="4320"/>
          </w:tcPr>
          <w:p>
            <w:r>
              <w:t>$0</w:t>
            </w:r>
          </w:p>
        </w:tc>
      </w:tr>
    </w:tbl>
    <w:p/>
    <w:p>
      <w:pPr>
        <w:pStyle w:val="Heading2"/>
      </w:pPr>
      <w:r>
        <w:t>Subcontractors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</w:rPr>
              <w:t>Amount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$0</w:t>
            </w:r>
          </w:p>
        </w:tc>
      </w:tr>
    </w:tbl>
    <w:p/>
    <w:p>
      <w:pPr>
        <w:pStyle w:val="Heading2"/>
      </w:pPr>
      <w:r>
        <w:t>Equipment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 xml:space="preserve"> — 0 days</w:t>
            </w:r>
          </w:p>
        </w:tc>
        <w:tc>
          <w:tcPr>
            <w:tcW w:type="dxa" w:w="4320"/>
          </w:tcPr>
          <w:p>
            <w:r>
              <w:t>$0</w:t>
            </w:r>
          </w:p>
        </w:tc>
      </w:tr>
    </w:tbl>
    <w:p/>
    <w:p>
      <w:pPr>
        <w:pStyle w:val="Heading1"/>
      </w:pPr>
      <w:r>
        <w:t>Project Timeline</w:t>
      </w:r>
    </w:p>
    <w:p>
      <w:pPr>
        <w:spacing w:after="120"/>
      </w:pPr>
      <w:r>
        <w:rPr>
          <w:b/>
          <w:color w:val="1F4E79"/>
          <w:sz w:val="24"/>
        </w:rPr>
        <w:t>Total Duration: 22 weeks</w:t>
      </w:r>
    </w:p>
    <w:p/>
    <w:p>
      <w:pPr>
        <w:pStyle w:val="Heading1"/>
      </w:pPr>
      <w:r>
        <w:t>Pricing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>Labor</w:t>
            </w:r>
          </w:p>
        </w:tc>
        <w:tc>
          <w:tcPr>
            <w:tcW w:type="dxa" w:w="4320"/>
          </w:tcPr>
          <w:p>
            <w:r>
              <w:t>$82,320</w:t>
            </w:r>
          </w:p>
        </w:tc>
      </w:tr>
      <w:tr>
        <w:tc>
          <w:tcPr>
            <w:tcW w:type="dxa" w:w="4320"/>
          </w:tcPr>
          <w:p>
            <w:r>
              <w:t>Materials</w:t>
            </w:r>
          </w:p>
        </w:tc>
        <w:tc>
          <w:tcPr>
            <w:tcW w:type="dxa" w:w="4320"/>
          </w:tcPr>
          <w:p>
            <w:r>
              <w:t>$0</w:t>
            </w:r>
          </w:p>
        </w:tc>
      </w:tr>
      <w:tr>
        <w:tc>
          <w:tcPr>
            <w:tcW w:type="dxa" w:w="4320"/>
          </w:tcPr>
          <w:p>
            <w:r>
              <w:t>Subcontractors</w:t>
            </w:r>
          </w:p>
        </w:tc>
        <w:tc>
          <w:tcPr>
            <w:tcW w:type="dxa" w:w="4320"/>
          </w:tcPr>
          <w:p>
            <w:r>
              <w:t>$0</w:t>
            </w:r>
          </w:p>
        </w:tc>
      </w:tr>
      <w:tr>
        <w:tc>
          <w:tcPr>
            <w:tcW w:type="dxa" w:w="4320"/>
          </w:tcPr>
          <w:p>
            <w:r>
              <w:t>Equipment</w:t>
            </w:r>
          </w:p>
        </w:tc>
        <w:tc>
          <w:tcPr>
            <w:tcW w:type="dxa" w:w="4320"/>
          </w:tcPr>
          <w:p>
            <w:r>
              <w:t>$0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Direct Cost Total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$82,320</w:t>
            </w:r>
          </w:p>
        </w:tc>
      </w:tr>
      <w:tr>
        <w:tc>
          <w:tcPr>
            <w:tcW w:type="dxa" w:w="4320"/>
          </w:tcPr>
          <w:p>
            <w:r>
              <w:t>Markup (12%)</w:t>
            </w:r>
          </w:p>
        </w:tc>
        <w:tc>
          <w:tcPr>
            <w:tcW w:type="dxa" w:w="4320"/>
          </w:tcPr>
          <w:p>
            <w:r>
              <w:t>$9,878</w:t>
            </w:r>
          </w:p>
        </w:tc>
      </w:tr>
      <w:tr>
        <w:tc>
          <w:tcPr>
            <w:tcW w:type="dxa" w:w="4320"/>
          </w:tcPr>
          <w:p>
            <w:r>
              <w:t>Contingency (8%)</w:t>
            </w:r>
          </w:p>
        </w:tc>
        <w:tc>
          <w:tcPr>
            <w:tcW w:type="dxa" w:w="4320"/>
          </w:tcPr>
          <w:p>
            <w:r>
              <w:t>$6,586</w:t>
            </w:r>
          </w:p>
        </w:tc>
      </w:tr>
      <w:tr>
        <w:tc>
          <w:tcPr>
            <w:tcW w:type="dxa" w:w="4320"/>
            <w:shd w:fill="E2EFDA" w:val="clear"/>
          </w:tcPr>
          <w:p>
            <w:r>
              <w:rPr>
                <w:b/>
              </w:rPr>
              <w:t>Total Price</w:t>
            </w:r>
          </w:p>
        </w:tc>
        <w:tc>
          <w:tcPr>
            <w:tcW w:type="dxa" w:w="4320"/>
            <w:shd w:fill="E2EFDA" w:val="clear"/>
          </w:tcPr>
          <w:p>
            <w:r>
              <w:rPr>
                <w:b/>
              </w:rPr>
              <w:t>$98,784</w:t>
            </w:r>
          </w:p>
        </w:tc>
      </w:tr>
    </w:tbl>
    <w:p/>
    <w:p>
      <w:pPr>
        <w:spacing w:after="120"/>
      </w:pPr>
      <w:r>
        <w:rPr>
          <w:color w:val="333333"/>
          <w:sz w:val="22"/>
        </w:rPr>
        <w:t>Payment Schedule: Monthly billing with 10% holdback (retention) released upon substantial completion.</w:t>
      </w:r>
    </w:p>
    <w:p>
      <w:pPr>
        <w:pStyle w:val="Heading1"/>
      </w:pPr>
      <w:r>
        <w:t>Terms &amp; Conditions</w:t>
      </w:r>
    </w:p>
    <w:p>
      <w:pPr>
        <w:spacing w:after="120"/>
      </w:pPr>
      <w:r>
        <w:rPr>
          <w:color w:val="333333"/>
          <w:sz w:val="20"/>
        </w:rPr>
        <w:t>Net 30 from invoice date. 10% mobilization, monthly progress billing, 10% retention released at substantial completion. Change orders per AIA A201. Work performed under general liability and workers comp coverage.</w:t>
      </w:r>
    </w:p>
    <w:p>
      <w:pPr>
        <w:pStyle w:val="Heading1"/>
      </w:pPr>
      <w:r>
        <w:t>Company Information</w:t>
      </w:r>
    </w:p>
    <w:p>
      <w:pPr>
        <w:spacing w:after="40"/>
      </w:pPr>
      <w:r>
        <w:rPr>
          <w:color w:val="333333"/>
          <w:sz w:val="22"/>
        </w:rPr>
        <w:t>Verification Test LLC</w:t>
      </w:r>
    </w:p>
    <w:p>
      <w:pPr>
        <w:spacing w:after="40"/>
      </w:pPr>
      <w:r>
        <w:rPr>
          <w:color w:val="333333"/>
          <w:sz w:val="22"/>
        </w:rPr>
        <w:t>Ashburn, VA</w:t>
      </w:r>
    </w:p>
    <w:p>
      <w:pPr>
        <w:spacing w:after="40"/>
      </w:pPr>
      <w:r>
        <w:rPr>
          <w:color w:val="333333"/>
          <w:sz w:val="22"/>
        </w:rPr>
        <w:t>Phone: (703) 555-0100</w:t>
      </w:r>
    </w:p>
    <w:p>
      <w:pPr>
        <w:spacing w:after="40"/>
      </w:pPr>
      <w:r>
        <w:rPr>
          <w:color w:val="333333"/>
          <w:sz w:val="22"/>
        </w:rPr>
        <w:t>Email: estimating@verification_test_llc.com</w:t>
      </w:r>
    </w:p>
    <w:p/>
    <w:p>
      <w:pPr>
        <w:pStyle w:val="Heading2"/>
      </w:pPr>
      <w:r>
        <w:t>Accepted By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Signature: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Printed Name: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jc w:val="center"/>
      </w:pPr>
      <w:r>
        <w:rPr>
          <w:i/>
          <w:color w:val="808080"/>
          <w:sz w:val="16"/>
        </w:rPr>
        <w:t>Generated by Endall | endall.ai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