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Proposal - Ashburn DC-14 Electrical Rough-In</w:t>
      </w:r>
    </w:p>
    <w:p>
      <w:r>
        <w:t>Prepared for: Meridian Construction, Inc.</w:t>
      </w:r>
    </w:p>
    <w:p>
      <w:r>
        <w:t>From: Patriot Electric, LLC  ·  Ashburn, VA  ·  License #2705-118432</w:t>
      </w:r>
    </w:p>
    <w:p>
      <w:r>
        <w:t>Date: April 5, 2026</w:t>
      </w:r>
    </w:p>
    <w:p>
      <w:pPr>
        <w:pStyle w:val="Heading2"/>
      </w:pPr>
      <w:r>
        <w:t>Scope of Work</w:t>
      </w:r>
    </w:p>
    <w:p>
      <w:r>
        <w:t>Patriot Electric will furnish all labor, materials, tools, and supervision necessary to complete the electrical rough-in for the Ashburn DC-14 data center shell, including main switchgear installation, step-down transformers, branch panelboards, feeder runs, lighting rough-in, device rough-in, and commissioning.</w:t>
      </w:r>
    </w:p>
    <w:p>
      <w:pPr>
        <w:pStyle w:val="Heading2"/>
      </w:pPr>
      <w:r>
        <w:t>Timeline</w:t>
      </w:r>
    </w:p>
    <w:p>
      <w:r>
        <w:t>Mobilization: May 1, 2026</w:t>
      </w:r>
    </w:p>
    <w:p>
      <w:r>
        <w:t>Rough-in complete: September 15, 2026</w:t>
      </w:r>
    </w:p>
    <w:p>
      <w:r>
        <w:t>Commissioning: October 1, 2026</w:t>
      </w:r>
    </w:p>
    <w:p>
      <w:pPr>
        <w:pStyle w:val="Heading2"/>
      </w:pPr>
      <w:r>
        <w:t>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Materials &amp; Equipment</w:t>
            </w:r>
          </w:p>
        </w:tc>
        <w:tc>
          <w:tcPr>
            <w:tcW w:type="dxa" w:w="4320"/>
          </w:tcPr>
          <w:p>
            <w:r>
              <w:t>$135,830</w:t>
            </w:r>
          </w:p>
        </w:tc>
      </w:tr>
      <w:tr>
        <w:tc>
          <w:tcPr>
            <w:tcW w:type="dxa" w:w="4320"/>
          </w:tcPr>
          <w:p>
            <w:r>
              <w:t>Labor</w:t>
            </w:r>
          </w:p>
        </w:tc>
        <w:tc>
          <w:tcPr>
            <w:tcW w:type="dxa" w:w="4320"/>
          </w:tcPr>
          <w:p>
            <w:r>
              <w:t>$82,320</w:t>
            </w:r>
          </w:p>
        </w:tc>
      </w:tr>
      <w:tr>
        <w:tc>
          <w:tcPr>
            <w:tcW w:type="dxa" w:w="4320"/>
          </w:tcPr>
          <w:p>
            <w:r>
              <w:t>PM + Commissioning</w:t>
            </w:r>
          </w:p>
        </w:tc>
        <w:tc>
          <w:tcPr>
            <w:tcW w:type="dxa" w:w="4320"/>
          </w:tcPr>
          <w:p>
            <w:r>
              <w:t>$22,800</w:t>
            </w:r>
          </w:p>
        </w:tc>
      </w:tr>
      <w:tr>
        <w:tc>
          <w:tcPr>
            <w:tcW w:type="dxa" w:w="4320"/>
          </w:tcPr>
          <w:p>
            <w:r>
              <w:t>Overhead</w:t>
            </w:r>
          </w:p>
        </w:tc>
        <w:tc>
          <w:tcPr>
            <w:tcW w:type="dxa" w:w="4320"/>
          </w:tcPr>
          <w:p>
            <w:r>
              <w:t>$19,280</w:t>
            </w:r>
          </w:p>
        </w:tc>
      </w:tr>
      <w:tr>
        <w:tc>
          <w:tcPr>
            <w:tcW w:type="dxa" w:w="4320"/>
          </w:tcPr>
          <w:p>
            <w:r>
              <w:t>Margin</w:t>
            </w:r>
          </w:p>
        </w:tc>
        <w:tc>
          <w:tcPr>
            <w:tcW w:type="dxa" w:w="4320"/>
          </w:tcPr>
          <w:p>
            <w:r>
              <w:t>$28,920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$289,150</w:t>
            </w:r>
          </w:p>
        </w:tc>
      </w:tr>
    </w:tbl>
    <w:p>
      <w:pPr>
        <w:pStyle w:val="Heading2"/>
      </w:pPr>
      <w:r>
        <w:t>Terms</w:t>
      </w:r>
    </w:p>
    <w:p>
      <w:r>
        <w:t>Net 30 from invoice date. 10% mobilization, monthly progress billing.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