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08"/>
        <w:gridCol w:w="1731"/>
        <w:gridCol w:w="2697"/>
        <w:gridCol w:w="1719"/>
        <w:gridCol w:w="2869"/>
        <w:gridCol w:w="2514"/>
        <w:gridCol w:w="3407"/>
        <w:gridCol w:w="3872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 tests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Environmental samples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detections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 single detections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EIPAAB rank (1–870)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 total detections (1–1654)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  percent detections (1–1428)*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Fluoxetine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17-alpha-ethinylestradiol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Venlafaxine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Citalopram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Sertraline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Carbamazepine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Oxazepam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Ibuprofen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17-beta-trenbolone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</w:t>
            </w:r>
          </w:p>
        </w:tc>
      </w:tr>
      <w:tr>
        <w:trPr>
          <w:trHeight w:val="612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Diazepam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2025-06-27T15:14:40Z</dcterms:modified>
  <cp:category/>
</cp:coreProperties>
</file>