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8"/>
        <w:gridCol w:w="1731"/>
        <w:gridCol w:w="2697"/>
        <w:gridCol w:w="1719"/>
        <w:gridCol w:w="2869"/>
        <w:gridCol w:w="2514"/>
        <w:gridCol w:w="3407"/>
        <w:gridCol w:w="3872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EIPAAB tests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Environmental samples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detections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Precent single detections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EIPAAB rank (1–870)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Rank total detections (1–1654)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Rank  percent detections (1–1428)*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Fluoxetine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17-alpha-ethinylestradiol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Citalopram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Carbamazepine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Oxazepam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17-beta-trenbolone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1,424</w:t>
            </w:r>
          </w:p>
        </w:tc>
      </w:tr>
      <w:tr>
        <w:trPr>
          <w:trHeight w:val="612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Diazepam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2025-06-20T13:50:37Z</dcterms:modified>
  <cp:category/>
</cp:coreProperties>
</file>