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B6E2" w14:textId="4747A3A4" w:rsidR="008E339B" w:rsidRDefault="008E339B" w:rsidP="008E339B">
      <w:pPr>
        <w:pStyle w:val="Title"/>
        <w:jc w:val="center"/>
        <w:rPr>
          <w:rFonts w:ascii="Calibri" w:hAnsi="Calibri"/>
          <w:b/>
          <w:color w:val="0080C0"/>
          <w:sz w:val="44"/>
        </w:rPr>
      </w:pPr>
      <w:r>
        <w:rPr>
          <w:rFonts w:ascii="Calibri" w:hAnsi="Calibri"/>
          <w:b/>
          <w:color w:val="0080C0"/>
          <w:sz w:val="44"/>
        </w:rPr>
        <w:t>Architectural &amp; Functional Overview</w:t>
      </w:r>
    </w:p>
    <w:p w14:paraId="7BFDFF9C" w14:textId="5A440A51" w:rsidR="008E339B" w:rsidRDefault="008E339B" w:rsidP="008E339B">
      <w:pPr>
        <w:rPr>
          <w:color w:val="808080"/>
          <w:sz w:val="28"/>
        </w:rPr>
      </w:pPr>
      <w:r>
        <w:rPr>
          <w:color w:val="808080"/>
          <w:sz w:val="28"/>
        </w:rPr>
        <w:t>VOS Manufacturing &amp; Logistics Management System</w:t>
      </w:r>
    </w:p>
    <w:p w14:paraId="3BE26A38" w14:textId="77777777" w:rsidR="008E339B" w:rsidRDefault="008E339B" w:rsidP="008E339B">
      <w:pPr>
        <w:rPr>
          <w:color w:val="808080"/>
          <w:sz w:val="28"/>
        </w:rPr>
      </w:pPr>
    </w:p>
    <w:p w14:paraId="58BF4282" w14:textId="3C675CDA" w:rsidR="008E339B" w:rsidRDefault="008E339B" w:rsidP="008E339B">
      <w:pPr>
        <w:pStyle w:val="Heading1"/>
        <w:rPr>
          <w:rFonts w:ascii="Calibri" w:hAnsi="Calibri" w:cs="Calibri"/>
          <w:b/>
          <w:color w:val="0080C0"/>
          <w:sz w:val="32"/>
        </w:rPr>
      </w:pPr>
      <w:r>
        <w:rPr>
          <w:rFonts w:ascii="Calibri" w:hAnsi="Calibri" w:cs="Calibri"/>
          <w:b/>
          <w:color w:val="0080C0"/>
          <w:sz w:val="32"/>
        </w:rPr>
        <w:t>1. Technological Foundation &amp; Stack</w:t>
      </w:r>
    </w:p>
    <w:p w14:paraId="1D9C4A1B" w14:textId="0FD3B43F"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The system is designed on a robust headless CMS architecture with a high-fidelity frontend presentation layer and a decoupled data persistence engine:</w:t>
      </w:r>
    </w:p>
    <w:p w14:paraId="3F1EBA87" w14:textId="6DD1226C" w:rsidR="008E339B" w:rsidRPr="008E339B" w:rsidRDefault="008E339B" w:rsidP="008E339B">
      <w:pPr>
        <w:pStyle w:val="ListBullet"/>
        <w:spacing w:after="60"/>
      </w:pPr>
      <w:r>
        <w:rPr>
          <w:rFonts w:ascii="Calibri" w:hAnsi="Calibri" w:cs="Calibri"/>
          <w:color w:val="000000"/>
          <w:sz w:val="22"/>
        </w:rPr>
        <w:t>Frontend Framework: Next.js 16 (React 19, Server &amp; Client Components, App Router).</w:t>
      </w:r>
    </w:p>
    <w:p w14:paraId="446FFCEC" w14:textId="0ED86673" w:rsidR="008E339B" w:rsidRPr="008E339B" w:rsidRDefault="008E339B" w:rsidP="008E339B">
      <w:pPr>
        <w:pStyle w:val="ListBullet"/>
        <w:spacing w:after="60"/>
      </w:pPr>
      <w:r>
        <w:rPr>
          <w:rFonts w:ascii="Calibri" w:hAnsi="Calibri" w:cs="Calibri"/>
          <w:color w:val="000000"/>
          <w:sz w:val="22"/>
        </w:rPr>
        <w:t>Design &amp; Styling: Custom Vanilla Tailwind CSS with custom micro-animations (pulsing geo-nodes, sliding slide-out sheets, active state loaders, dynamic charts) for high-fidelity aesthetics. It includes a custom styling theme system supporting Light/Dark/System appearance, accent color themes, rounded corner boundary ratios, and UI densities.</w:t>
      </w:r>
    </w:p>
    <w:p w14:paraId="6EF0B264" w14:textId="22F893E0" w:rsidR="008E339B" w:rsidRPr="008E339B" w:rsidRDefault="008E339B" w:rsidP="008E339B">
      <w:pPr>
        <w:pStyle w:val="ListBullet"/>
        <w:spacing w:after="60"/>
      </w:pPr>
      <w:r>
        <w:rPr>
          <w:rFonts w:ascii="Calibri" w:hAnsi="Calibri" w:cs="Calibri"/>
          <w:color w:val="000000"/>
          <w:sz w:val="22"/>
        </w:rPr>
        <w:t>Visualizations: Recharts data engine for demand forecasting, inventory charts, and historical sales analytics.</w:t>
      </w:r>
    </w:p>
    <w:p w14:paraId="030276A0" w14:textId="108D8D8D" w:rsidR="008E339B" w:rsidRPr="008E339B" w:rsidRDefault="008E339B" w:rsidP="008E339B">
      <w:pPr>
        <w:pStyle w:val="ListBullet"/>
        <w:spacing w:after="60"/>
      </w:pPr>
      <w:r>
        <w:rPr>
          <w:rFonts w:ascii="Calibri" w:hAnsi="Calibri" w:cs="Calibri"/>
          <w:color w:val="000000"/>
          <w:sz w:val="22"/>
        </w:rPr>
        <w:t>Mapping &amp; Geolocation: Maplibre-GL canvas rendering with CartoDB keyless basemaps, OSM Nominatim Geocoder search autocompletes, and Esri raster satellite imagery toggles.</w:t>
      </w:r>
    </w:p>
    <w:p w14:paraId="3214B2F3" w14:textId="5F21E32D" w:rsidR="008E339B" w:rsidRPr="008E339B" w:rsidRDefault="008E339B" w:rsidP="008E339B">
      <w:pPr>
        <w:pStyle w:val="ListBullet"/>
        <w:spacing w:after="60"/>
      </w:pPr>
      <w:r>
        <w:rPr>
          <w:rFonts w:ascii="Calibri" w:hAnsi="Calibri" w:cs="Calibri"/>
          <w:color w:val="000000"/>
          <w:sz w:val="22"/>
        </w:rPr>
        <w:t>Database &amp; API Layer: Headless Directus CMS (running on PostgreSQL/MySQL) serving RESTful endpoints secured via static JWT bearer tokens.</w:t>
      </w:r>
    </w:p>
    <w:p w14:paraId="6E7E4464" w14:textId="7D129494" w:rsidR="008E339B" w:rsidRPr="008E339B" w:rsidRDefault="008E339B" w:rsidP="008E339B">
      <w:pPr>
        <w:pStyle w:val="ListBullet"/>
        <w:spacing w:after="60"/>
      </w:pPr>
      <w:r>
        <w:rPr>
          <w:rFonts w:ascii="Calibri" w:hAnsi="Calibri" w:cs="Calibri"/>
          <w:color w:val="000000"/>
          <w:sz w:val="22"/>
        </w:rPr>
        <w:t>Core Helper Libraries: Lucide React icons, Sonner toast notifications, HTML5 Geolocation API, HTML5 Canvas signature capture pads.</w:t>
      </w:r>
    </w:p>
    <w:p w14:paraId="06BB0642" w14:textId="4FEBC647" w:rsidR="008E339B" w:rsidRPr="008E339B" w:rsidRDefault="008E339B" w:rsidP="008E339B">
      <w:pPr>
        <w:pStyle w:val="ListBullet"/>
        <w:spacing w:after="60"/>
      </w:pPr>
      <w:r>
        <w:rPr>
          <w:rFonts w:ascii="Calibri" w:hAnsi="Calibri" w:cs="Calibri"/>
          <w:color w:val="000000"/>
          <w:sz w:val="22"/>
        </w:rPr>
        <w:t>Print Engine: Sandboxed &lt;iframe&gt; layout builders rendering dynamic continuous invoices without blocking visual main threads, with printer calibration configurations.</w:t>
      </w:r>
    </w:p>
    <w:p w14:paraId="794BC5BF" w14:textId="6AEE2918" w:rsidR="008E339B" w:rsidRPr="008E339B" w:rsidRDefault="008E339B" w:rsidP="008E339B">
      <w:pPr>
        <w:pStyle w:val="ListBullet"/>
        <w:spacing w:after="60"/>
      </w:pPr>
      <w:r>
        <w:rPr>
          <w:rFonts w:ascii="Calibri" w:hAnsi="Calibri" w:cs="Calibri"/>
          <w:color w:val="000000"/>
          <w:sz w:val="22"/>
        </w:rPr>
        <w:t>PDF Generation: jspdf and jspdf-autotable engine running with reusable company template structures.</w:t>
      </w:r>
    </w:p>
    <w:p w14:paraId="44E2B150" w14:textId="77777777" w:rsidR="008E339B" w:rsidRDefault="008E339B" w:rsidP="008E339B">
      <w:pPr>
        <w:pStyle w:val="ListBullet"/>
        <w:spacing w:after="60"/>
      </w:pPr>
    </w:p>
    <w:p w14:paraId="2375542C" w14:textId="672AD9B9" w:rsidR="008E339B" w:rsidRDefault="008E339B" w:rsidP="008E339B">
      <w:pPr>
        <w:pStyle w:val="Heading1"/>
        <w:rPr>
          <w:rFonts w:ascii="Calibri" w:hAnsi="Calibri" w:cs="Calibri"/>
          <w:b/>
          <w:color w:val="0080C0"/>
          <w:sz w:val="32"/>
        </w:rPr>
      </w:pPr>
      <w:r>
        <w:rPr>
          <w:rFonts w:ascii="Calibri" w:hAnsi="Calibri" w:cs="Calibri"/>
          <w:b/>
          <w:color w:val="0080C0"/>
          <w:sz w:val="32"/>
        </w:rPr>
        <w:t>2. Core Functional Modules Breakdown</w:t>
      </w:r>
    </w:p>
    <w:p w14:paraId="0C54398C" w14:textId="163064D6" w:rsidR="008E339B" w:rsidRDefault="008E339B" w:rsidP="008E339B">
      <w:pPr>
        <w:pStyle w:val="Heading2"/>
        <w:rPr>
          <w:rFonts w:ascii="Calibri" w:hAnsi="Calibri" w:cs="Calibri"/>
          <w:b/>
          <w:color w:val="404040"/>
          <w:sz w:val="26"/>
        </w:rPr>
      </w:pPr>
      <w:r>
        <w:rPr>
          <w:rFonts w:ascii="Calibri" w:hAnsi="Calibri" w:cs="Calibri"/>
          <w:b/>
          <w:color w:val="404040"/>
          <w:sz w:val="26"/>
        </w:rPr>
        <w:t>1. Sales Forecasting &amp; Material Shortage Explosion (MRP)</w:t>
      </w:r>
    </w:p>
    <w:p w14:paraId="63D34F35" w14:textId="3C92A056"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/mm/bi-and-financials | Implemented in: BiAndFinancialsModule.tsx</w:t>
      </w:r>
    </w:p>
    <w:p w14:paraId="738C4DBF" w14:textId="1074A157"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Compiles actual historical monthly sales volume and return transactions from database invoicing endpoints. In the absence of live records, utilizes product SKU characteristics to seed consistent simulated histories. Features statistical forecasting models (Simple Moving Average and Exponential Smoothing with adjustable alpha coefficients) to project finished goods production deficits. Explodes Bill of Materials (BOM) recipes, automatically planning replenishments for raw materials after checking current warehouse stocks and factoring in wastage variables. Offers a one-click automated Job Order Trigger to resolve deficits.</w:t>
      </w:r>
    </w:p>
    <w:p w14:paraId="6D25EF6F" w14:textId="635F627E" w:rsidR="008E339B" w:rsidRDefault="008E339B" w:rsidP="008E339B">
      <w:pPr>
        <w:pStyle w:val="Heading2"/>
        <w:rPr>
          <w:rFonts w:ascii="Calibri" w:hAnsi="Calibri" w:cs="Calibri"/>
          <w:b/>
          <w:color w:val="404040"/>
          <w:sz w:val="26"/>
        </w:rPr>
      </w:pPr>
      <w:r>
        <w:rPr>
          <w:rFonts w:ascii="Calibri" w:hAnsi="Calibri" w:cs="Calibri"/>
          <w:b/>
          <w:color w:val="404040"/>
          <w:sz w:val="26"/>
        </w:rPr>
        <w:t>2. Product Master SKUs &amp; Bill of Materials (BOM) Recipe Engine</w:t>
      </w:r>
    </w:p>
    <w:p w14:paraId="3E6B4E83" w14:textId="35AFD5A0"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/mm/finished-goods | Implemented in: FinishedGoodsModule.tsx (with BOMRecipeTab.tsx, RoutingsTab.tsx, and CostRollupTab.tsx)</w:t>
      </w:r>
    </w:p>
    <w:p w14:paraId="50F75C1E" w14:textId="4C10429A"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Details item listings, barcode specifications, safety stock levels, product classifications, and base unit measurements. It maintains multi-version recipe components (draft/active) and sequences operations routings mapped to work centers. Labor costs are calculated as (Labor Cost + (Machine Hourly Rate * Cycle Duration)). Administrative, logistics, and QA overhead category values are allocated to compile standard Cost of Goods Sold (COGS). A multi-scenario margin simulator lets engineers adjust parameters and export quotations in real-time.</w:t>
      </w:r>
    </w:p>
    <w:p w14:paraId="436B2120" w14:textId="7FE28F47" w:rsidR="008E339B" w:rsidRDefault="008E339B" w:rsidP="008E339B">
      <w:pPr>
        <w:pStyle w:val="Heading2"/>
        <w:rPr>
          <w:rFonts w:ascii="Calibri" w:hAnsi="Calibri" w:cs="Calibri"/>
          <w:b/>
          <w:color w:val="404040"/>
          <w:sz w:val="26"/>
        </w:rPr>
      </w:pPr>
      <w:r>
        <w:rPr>
          <w:rFonts w:ascii="Calibri" w:hAnsi="Calibri" w:cs="Calibri"/>
          <w:b/>
          <w:color w:val="404040"/>
          <w:sz w:val="26"/>
        </w:rPr>
        <w:t>3. Task Planning, Allocations, &amp; Job Order Consolidation</w:t>
      </w:r>
    </w:p>
    <w:p w14:paraId="54171372" w14:textId="1451EBC3"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/mm/planning-engineering | Implemented in: PlanningEngineeringModule.tsx (with BatchConsolidationTable.tsx, ManpowerWorkloadAnalysis.tsx, PlanningSidebarForm.tsx, and JobOrdersList.tsx)</w:t>
      </w:r>
    </w:p>
    <w:p w14:paraId="75B37987" w14:textId="1349D3BE"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Consolidates multiple pending Sales Orders (1:N mapping) into unified production batch runs to reduce machine cleaning and setup times. It performs manpower workload analysis by aggregating total operation durations and mapping assigned workload hours per operator user against threshold capacities (40-hour limit) to raise capacity warning alerts. Schedulers can delegate specific operators to individual routing tasks in the Job Order before release.</w:t>
      </w:r>
    </w:p>
    <w:p w14:paraId="2C34A651" w14:textId="7ADD3904" w:rsidR="008E339B" w:rsidRDefault="008E339B" w:rsidP="008E339B">
      <w:pPr>
        <w:pStyle w:val="Heading2"/>
        <w:rPr>
          <w:rFonts w:ascii="Calibri" w:hAnsi="Calibri" w:cs="Calibri"/>
          <w:b/>
          <w:color w:val="404040"/>
          <w:sz w:val="26"/>
        </w:rPr>
      </w:pPr>
      <w:r>
        <w:rPr>
          <w:rFonts w:ascii="Calibri" w:hAnsi="Calibri" w:cs="Calibri"/>
          <w:b/>
          <w:color w:val="404040"/>
          <w:sz w:val="26"/>
        </w:rPr>
        <w:t>4. Operations Calendar of Schedule Cockpit</w:t>
      </w:r>
    </w:p>
    <w:p w14:paraId="45E82100" w14:textId="7546DA5C"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/mm/calendar-of-schedule | Implemented in: CalendarOfScheduleModule.tsx (with CalendarGrid.tsx and ScheduleDetailsPanel.tsx)</w:t>
      </w:r>
    </w:p>
    <w:p w14:paraId="7366679E" w14:textId="73C82975"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A monthly dashboard displaying scheduled production Job Orders and incoming cargo shipments. It filters display elements by All Schedules, Job Orders Only, or Incoming ETAs, color-coding normal scheduling, material deficits, and shipments. A slide-out details panel renders information on calendar event clicks.</w:t>
      </w:r>
    </w:p>
    <w:p w14:paraId="3F6FD205" w14:textId="3FD8E814" w:rsidR="008E339B" w:rsidRDefault="008E339B" w:rsidP="008E339B">
      <w:pPr>
        <w:pStyle w:val="Heading2"/>
        <w:rPr>
          <w:rFonts w:ascii="Calibri" w:hAnsi="Calibri" w:cs="Calibri"/>
          <w:b/>
          <w:color w:val="404040"/>
          <w:sz w:val="26"/>
        </w:rPr>
      </w:pPr>
      <w:r>
        <w:rPr>
          <w:rFonts w:ascii="Calibri" w:hAnsi="Calibri" w:cs="Calibri"/>
          <w:b/>
          <w:color w:val="404040"/>
          <w:sz w:val="26"/>
        </w:rPr>
        <w:t>5. Shop Floor Production Workflow &amp; QA Checklist Inspection Gates</w:t>
      </w:r>
    </w:p>
    <w:p w14:paraId="23C4BB55" w14:textId="4D5369D8"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/mm/production-workflow | Implemented in: ProductionWorkflowModule.tsx (with OperatorQueue.tsx, WorkflowStation.tsx, OperatorAssignmentModal.tsx, QAVerificationModal.tsx, and FinishedGoodsReceiptModal.tsx)</w:t>
      </w:r>
    </w:p>
    <w:p w14:paraId="54178304" w14:textId="0D988CA7"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Monitors operations progress from Scheduled to In Production to Completed. Operators log actual run times, scrap metrics, credentials, and machine run hours. It enforces a strict quality control gate at each routing operation step, requiring a QA Inspector check-off (Passed vs Pending status) before operators can proceed to subsequent routing steps. Completing the final routing step updates inventory ledger cards and advances the parent Sales Order status.</w:t>
      </w:r>
    </w:p>
    <w:p w14:paraId="54115DC1" w14:textId="3946A61B" w:rsidR="008E339B" w:rsidRDefault="008E339B" w:rsidP="008E339B">
      <w:pPr>
        <w:pStyle w:val="Heading2"/>
        <w:rPr>
          <w:rFonts w:ascii="Calibri" w:hAnsi="Calibri" w:cs="Calibri"/>
          <w:b/>
          <w:color w:val="404040"/>
          <w:sz w:val="26"/>
        </w:rPr>
      </w:pPr>
      <w:r>
        <w:rPr>
          <w:rFonts w:ascii="Calibri" w:hAnsi="Calibri" w:cs="Calibri"/>
          <w:b/>
          <w:color w:val="404040"/>
          <w:sz w:val="26"/>
        </w:rPr>
        <w:t>6. Geolocation Mapping &amp; Customer Registries</w:t>
      </w:r>
    </w:p>
    <w:p w14:paraId="6CCEBEAA" w14:textId="52757505"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/mm/clients | Implemented in: ClientFormModal.tsx and CustomerMapSelector.tsx</w:t>
      </w:r>
    </w:p>
    <w:p w14:paraId="35F31EDB" w14:textId="7E0F3CDC"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Integrates cascading selector menus using the Philippine Standard Geographic Code (Province -&gt; City/Municipality -&gt; Barangay). Embeds an interactive Maplibre-GL canvas widget inside the address modal allowing click-to-pin mapping, draggable coordinates syncing, OSM Nominatim Geocoding address autocompletes, and satellite map imagery layer toggling.</w:t>
      </w:r>
    </w:p>
    <w:p w14:paraId="4AA313B3" w14:textId="6D3797D6" w:rsidR="008E339B" w:rsidRDefault="008E339B" w:rsidP="008E339B">
      <w:pPr>
        <w:pStyle w:val="Heading2"/>
        <w:rPr>
          <w:rFonts w:ascii="Calibri" w:hAnsi="Calibri" w:cs="Calibri"/>
          <w:b/>
          <w:color w:val="404040"/>
          <w:sz w:val="26"/>
        </w:rPr>
      </w:pPr>
      <w:r>
        <w:rPr>
          <w:rFonts w:ascii="Calibri" w:hAnsi="Calibri" w:cs="Calibri"/>
          <w:b/>
          <w:color w:val="404040"/>
          <w:sz w:val="26"/>
        </w:rPr>
        <w:t>7. Logistics Dispatch &amp; Route Optimization</w:t>
      </w:r>
    </w:p>
    <w:p w14:paraId="1BD87876" w14:textId="5A92098D"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/mm/deliveries | Implemented in: DeliveriesModule.tsx (with CreateDispatchModal.tsx and DispatchDetailModal.tsx)</w:t>
      </w:r>
    </w:p>
    <w:p w14:paraId="29C30BC6" w14:textId="45C5E073"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Allows delivery schedulers to group unpaid or unfulfilled invoices into a dispatch plan and trigger the 'Auto-Optimize Route' command. This sequences stops to minimize travel distances using customer latitude/longitude coordinates and Haversine equations. Schedulers assign vehicles (monitoring load limits), drivers, and helpers. A mobile view allows drivers to view routes, override delivery status, upload proof-of-delivery images, and capture digital signatures on canvas.</w:t>
      </w:r>
    </w:p>
    <w:p w14:paraId="68A85A31" w14:textId="1D98FE04" w:rsidR="008E339B" w:rsidRDefault="008E339B" w:rsidP="008E339B">
      <w:pPr>
        <w:pStyle w:val="Heading2"/>
        <w:rPr>
          <w:rFonts w:ascii="Calibri" w:hAnsi="Calibri" w:cs="Calibri"/>
          <w:b/>
          <w:color w:val="404040"/>
          <w:sz w:val="26"/>
        </w:rPr>
      </w:pPr>
      <w:r>
        <w:rPr>
          <w:rFonts w:ascii="Calibri" w:hAnsi="Calibri" w:cs="Calibri"/>
          <w:b/>
          <w:color w:val="404040"/>
          <w:sz w:val="26"/>
        </w:rPr>
        <w:t>8. Purchase Orders, QA Receiving Gates, &amp; Expenses</w:t>
      </w:r>
    </w:p>
    <w:p w14:paraId="1F1CF628" w14:textId="351C152E"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/mm/procurement | Implemented in: ProcurementModule.tsx (with incoming QA gates at /mm/qa-receiving and landed cost calculations at /mm/shipment-expenses)</w:t>
      </w:r>
    </w:p>
    <w:p w14:paraId="752722E6" w14:textId="41483ADE"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Manages suppliers, handles re-order parameters, and automatically initiates PO drafts when raw materials fall below safety thresholds. The QA Receiving Gate enforces test verification checklists on incoming materials before release to raw storage bins, while landed costs allocate freight, duties, haulage, and brokerage expenses to raw material shipments.</w:t>
      </w:r>
    </w:p>
    <w:p w14:paraId="2C7D4CDC" w14:textId="5DFA715B" w:rsidR="008E339B" w:rsidRDefault="008E339B" w:rsidP="008E339B">
      <w:pPr>
        <w:pStyle w:val="Heading2"/>
        <w:rPr>
          <w:rFonts w:ascii="Calibri" w:hAnsi="Calibri" w:cs="Calibri"/>
          <w:b/>
          <w:color w:val="404040"/>
          <w:sz w:val="26"/>
        </w:rPr>
      </w:pPr>
      <w:r>
        <w:rPr>
          <w:rFonts w:ascii="Calibri" w:hAnsi="Calibri" w:cs="Calibri"/>
          <w:b/>
          <w:color w:val="404040"/>
          <w:sz w:val="26"/>
        </w:rPr>
        <w:t>9. Sales Invoicing &amp; Printer Calibrations</w:t>
      </w:r>
    </w:p>
    <w:p w14:paraId="632E8CBB" w14:textId="0BD9C238"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/mm/invoices | Implemented in: InvoiceDetailModal.tsx (and PrinterAlignmentPanel.tsx)</w:t>
      </w:r>
    </w:p>
    <w:p w14:paraId="65CBBBEE" w14:textId="0D6B9F15"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Monitors payment stages (Paid, Partially Paid, Unpaid, Cancelled) and records cash/check/transfer collections. It uses a sandboxed iframe to write HTML document invoice markups and trigger print actions, allowing users to calibrate continuous form print alignments by setting X/Y millimeter offset values.</w:t>
      </w:r>
    </w:p>
    <w:p w14:paraId="6B7DCBDD" w14:textId="5402C61C" w:rsidR="008E339B" w:rsidRDefault="008E339B" w:rsidP="008E339B">
      <w:pPr>
        <w:pStyle w:val="Heading2"/>
        <w:rPr>
          <w:rFonts w:ascii="Calibri" w:hAnsi="Calibri" w:cs="Calibri"/>
          <w:b/>
          <w:color w:val="404040"/>
          <w:sz w:val="26"/>
        </w:rPr>
      </w:pPr>
      <w:r>
        <w:rPr>
          <w:rFonts w:ascii="Calibri" w:hAnsi="Calibri" w:cs="Calibri"/>
          <w:b/>
          <w:color w:val="404040"/>
          <w:sz w:val="26"/>
        </w:rPr>
        <w:t>10. Warehousing, UOM, Returns, &amp; Settings</w:t>
      </w:r>
    </w:p>
    <w:p w14:paraId="350E8F01" w14:textId="0A90E1AC"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Route: /mm/inventory | Implemented in: InventoryModule.tsx (with UOMConversionsModule.tsx, settings-appearance.tsx, /mm/login-activity, and PdfTestPage.tsx)</w:t>
      </w:r>
    </w:p>
    <w:p w14:paraId="50A01A49" w14:textId="6402CBAD"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Manages ledger stocks transactions logs ('product_ledger' database collection) and tracking inventory stock adjustments with reason codes. Features a custom UOM conversions engine with density controls (e.g. Metric Tons to Liters). Saves price lists snapshots. Runs customer sales returns, credit note generation, and returned stock warehouse updates. Manages user profile settings, application accent colors, login session security audits, and PDF frame layouts debugging testers.</w:t>
      </w:r>
    </w:p>
    <w:p w14:paraId="45EDB462" w14:textId="77777777" w:rsidR="008E339B" w:rsidRDefault="008E339B" w:rsidP="008E339B">
      <w:pPr>
        <w:spacing w:after="120" w:line="260" w:lineRule="auto"/>
        <w:rPr>
          <w:rFonts w:ascii="Calibri" w:hAnsi="Calibri" w:cs="Calibri"/>
          <w:color w:val="000000"/>
          <w:sz w:val="22"/>
        </w:rPr>
      </w:pPr>
    </w:p>
    <w:p w14:paraId="3CF7CE58" w14:textId="09B3CDFA" w:rsidR="008E339B" w:rsidRDefault="008E339B" w:rsidP="008E339B">
      <w:pPr>
        <w:pStyle w:val="Heading1"/>
        <w:rPr>
          <w:rFonts w:ascii="Calibri" w:hAnsi="Calibri" w:cs="Calibri"/>
          <w:b/>
          <w:color w:val="0080C0"/>
          <w:sz w:val="32"/>
        </w:rPr>
      </w:pPr>
      <w:r>
        <w:rPr>
          <w:rFonts w:ascii="Calibri" w:hAnsi="Calibri" w:cs="Calibri"/>
          <w:b/>
          <w:color w:val="0080C0"/>
          <w:sz w:val="32"/>
        </w:rPr>
        <w:t>3. System Workflow &amp; Data Lifecycle</w:t>
      </w:r>
    </w:p>
    <w:p w14:paraId="4145A76C" w14:textId="2834C263" w:rsidR="008E339B" w:rsidRDefault="008E339B" w:rsidP="008E339B">
      <w:pPr>
        <w:spacing w:after="120" w:line="260" w:lineRule="auto"/>
        <w:rPr>
          <w:rFonts w:ascii="Calibri" w:hAnsi="Calibri" w:cs="Calibri"/>
          <w:color w:val="000000"/>
          <w:sz w:val="22"/>
        </w:rPr>
      </w:pPr>
      <w:r>
        <w:rPr>
          <w:rFonts w:ascii="Calibri" w:hAnsi="Calibri" w:cs="Calibri"/>
          <w:color w:val="000000"/>
          <w:sz w:val="22"/>
        </w:rPr>
        <w:t>The typical operational workflow traces a sequential path through the system's core modules:</w:t>
      </w:r>
    </w:p>
    <w:p w14:paraId="4FDDF7E8" w14:textId="117C6EB4" w:rsidR="008E339B" w:rsidRPr="008E339B" w:rsidRDefault="008E339B" w:rsidP="008E339B">
      <w:pPr>
        <w:pStyle w:val="ListBullet"/>
        <w:spacing w:after="60"/>
      </w:pPr>
      <w:r>
        <w:rPr>
          <w:rFonts w:ascii="Calibri" w:hAnsi="Calibri" w:cs="Calibri"/>
          <w:color w:val="000000"/>
          <w:sz w:val="22"/>
        </w:rPr>
        <w:t>1. Client Setup: Customers are registered in the Clients Registry, capturing geocoded pins and Philippine PSGC addresses.</w:t>
      </w:r>
    </w:p>
    <w:p w14:paraId="069A89BA" w14:textId="71A26BAD" w:rsidR="008E339B" w:rsidRPr="008E339B" w:rsidRDefault="008E339B" w:rsidP="008E339B">
      <w:pPr>
        <w:pStyle w:val="ListBullet"/>
        <w:spacing w:after="60"/>
      </w:pPr>
      <w:r>
        <w:rPr>
          <w:rFonts w:ascii="Calibri" w:hAnsi="Calibri" w:cs="Calibri"/>
          <w:color w:val="000000"/>
          <w:sz w:val="22"/>
        </w:rPr>
        <w:t>2. Recipe Designing: SKUs and active BOM recipes are defined with standard labor and overhead costs to calculate COGS.</w:t>
      </w:r>
    </w:p>
    <w:p w14:paraId="3250E9A7" w14:textId="65206908" w:rsidR="008E339B" w:rsidRPr="008E339B" w:rsidRDefault="008E339B" w:rsidP="008E339B">
      <w:pPr>
        <w:pStyle w:val="ListBullet"/>
        <w:spacing w:after="60"/>
      </w:pPr>
      <w:r>
        <w:rPr>
          <w:rFonts w:ascii="Calibri" w:hAnsi="Calibri" w:cs="Calibri"/>
          <w:color w:val="000000"/>
          <w:sz w:val="22"/>
        </w:rPr>
        <w:t>3. Quotation &amp; Sale: Sales Orders are logged against customer custom price locks, proceeding through credit limit checks.</w:t>
      </w:r>
    </w:p>
    <w:p w14:paraId="34672B7E" w14:textId="74FC5A16" w:rsidR="008E339B" w:rsidRPr="008E339B" w:rsidRDefault="008E339B" w:rsidP="008E339B">
      <w:pPr>
        <w:pStyle w:val="ListBullet"/>
        <w:spacing w:after="60"/>
      </w:pPr>
      <w:r>
        <w:rPr>
          <w:rFonts w:ascii="Calibri" w:hAnsi="Calibri" w:cs="Calibri"/>
          <w:color w:val="000000"/>
          <w:sz w:val="22"/>
        </w:rPr>
        <w:t>4. Scheduling: High-volume Sales Orders are consolidated into batch Job Orders, or generated via Sales Forecast triggers.</w:t>
      </w:r>
    </w:p>
    <w:p w14:paraId="2713B5FC" w14:textId="3A39571E" w:rsidR="008E339B" w:rsidRPr="008E339B" w:rsidRDefault="008E339B" w:rsidP="008E339B">
      <w:pPr>
        <w:pStyle w:val="ListBullet"/>
        <w:spacing w:after="60"/>
      </w:pPr>
      <w:r>
        <w:rPr>
          <w:rFonts w:ascii="Calibri" w:hAnsi="Calibri" w:cs="Calibri"/>
          <w:color w:val="000000"/>
          <w:sz w:val="22"/>
        </w:rPr>
        <w:t>5. Production Floor execution: Task assignments are delegated to shop floor workers. Operations are checked off step-by-step through QA Inspector gates.</w:t>
      </w:r>
    </w:p>
    <w:p w14:paraId="79BDA035" w14:textId="7AB807DD" w:rsidR="008E339B" w:rsidRPr="008E339B" w:rsidRDefault="008E339B" w:rsidP="008E339B">
      <w:pPr>
        <w:pStyle w:val="ListBullet"/>
        <w:spacing w:after="60"/>
      </w:pPr>
      <w:r>
        <w:rPr>
          <w:rFonts w:ascii="Calibri" w:hAnsi="Calibri" w:cs="Calibri"/>
          <w:color w:val="000000"/>
          <w:sz w:val="22"/>
        </w:rPr>
        <w:t>6. Stock Receipt: Finalized production runs trigger an auto-pass of finished products to inventory lots and ledger records.</w:t>
      </w:r>
    </w:p>
    <w:p w14:paraId="415690AE" w14:textId="30F92AB2" w:rsidR="008E339B" w:rsidRPr="008E339B" w:rsidRDefault="008E339B" w:rsidP="008E339B">
      <w:pPr>
        <w:pStyle w:val="ListBullet"/>
        <w:spacing w:after="60"/>
      </w:pPr>
      <w:r>
        <w:rPr>
          <w:rFonts w:ascii="Calibri" w:hAnsi="Calibri" w:cs="Calibri"/>
          <w:color w:val="000000"/>
          <w:sz w:val="22"/>
        </w:rPr>
        <w:t>7. Invoicing &amp; Dispatch: Customer invoices are compiled, continuous form prints are calibrated, and delivery stops are optimized with nearest-neighbor routing sequences.</w:t>
      </w:r>
    </w:p>
    <w:p w14:paraId="119F8A16" w14:textId="30811C73" w:rsidR="008E339B" w:rsidRPr="008E339B" w:rsidRDefault="008E339B" w:rsidP="008E339B">
      <w:pPr>
        <w:pStyle w:val="ListBullet"/>
        <w:spacing w:after="60"/>
      </w:pPr>
      <w:r>
        <w:rPr>
          <w:rFonts w:ascii="Calibri" w:hAnsi="Calibri" w:cs="Calibri"/>
          <w:color w:val="000000"/>
          <w:sz w:val="22"/>
        </w:rPr>
        <w:t>8. Completion: Drivers capture on-site proof-of-delivery signatures and images on mobile browsers, updating final transaction receipts.</w:t>
      </w:r>
    </w:p>
    <w:p w14:paraId="3507B56B" w14:textId="77777777" w:rsidR="008E339B" w:rsidRPr="008E339B" w:rsidRDefault="008E339B" w:rsidP="008E339B">
      <w:pPr>
        <w:pStyle w:val="ListBullet"/>
        <w:spacing w:after="60"/>
      </w:pPr>
    </w:p>
    <w:sectPr w:rsidR="008E339B" w:rsidRPr="008E3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CEEF0A"/>
    <w:lvl w:ilvl="0">
      <w:start w:val="1"/>
      <w:numFmt w:val="bullet"/>
      <w:pStyle w:val="ListBullet"/>
      <w:lvlText w:val=""/>
      <w:lvlJc w:val="left"/>
      <w:pPr>
        <w:tabs>
          <w:tab w:val="num" w:pos="360"/>
        </w:tabs>
        <w:ind w:left="360" w:hanging="360"/>
      </w:pPr>
      <w:rPr>
        <w:rFonts w:ascii="Symbol" w:hAnsi="Symbol" w:hint="default"/>
      </w:rPr>
    </w:lvl>
  </w:abstractNum>
  <w:num w:numId="1" w16cid:durableId="116925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9B"/>
    <w:rsid w:val="006E0C98"/>
    <w:rsid w:val="008E33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356C"/>
  <w15:chartTrackingRefBased/>
  <w15:docId w15:val="{667DDE10-B391-4BAD-B4A9-BE43F6C6D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39B"/>
    <w:rPr>
      <w:rFonts w:eastAsiaTheme="majorEastAsia" w:cstheme="majorBidi"/>
      <w:color w:val="272727" w:themeColor="text1" w:themeTint="D8"/>
    </w:rPr>
  </w:style>
  <w:style w:type="paragraph" w:styleId="Title">
    <w:name w:val="Title"/>
    <w:basedOn w:val="Normal"/>
    <w:next w:val="Normal"/>
    <w:link w:val="TitleChar"/>
    <w:uiPriority w:val="10"/>
    <w:qFormat/>
    <w:rsid w:val="008E3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39B"/>
    <w:pPr>
      <w:spacing w:before="160"/>
      <w:jc w:val="center"/>
    </w:pPr>
    <w:rPr>
      <w:i/>
      <w:iCs/>
      <w:color w:val="404040" w:themeColor="text1" w:themeTint="BF"/>
    </w:rPr>
  </w:style>
  <w:style w:type="character" w:customStyle="1" w:styleId="QuoteChar">
    <w:name w:val="Quote Char"/>
    <w:basedOn w:val="DefaultParagraphFont"/>
    <w:link w:val="Quote"/>
    <w:uiPriority w:val="29"/>
    <w:rsid w:val="008E339B"/>
    <w:rPr>
      <w:i/>
      <w:iCs/>
      <w:color w:val="404040" w:themeColor="text1" w:themeTint="BF"/>
    </w:rPr>
  </w:style>
  <w:style w:type="paragraph" w:styleId="ListParagraph">
    <w:name w:val="List Paragraph"/>
    <w:basedOn w:val="Normal"/>
    <w:uiPriority w:val="34"/>
    <w:qFormat/>
    <w:rsid w:val="008E339B"/>
    <w:pPr>
      <w:ind w:left="720"/>
      <w:contextualSpacing/>
    </w:pPr>
  </w:style>
  <w:style w:type="character" w:styleId="IntenseEmphasis">
    <w:name w:val="Intense Emphasis"/>
    <w:basedOn w:val="DefaultParagraphFont"/>
    <w:uiPriority w:val="21"/>
    <w:qFormat/>
    <w:rsid w:val="008E339B"/>
    <w:rPr>
      <w:i/>
      <w:iCs/>
      <w:color w:val="0F4761" w:themeColor="accent1" w:themeShade="BF"/>
    </w:rPr>
  </w:style>
  <w:style w:type="paragraph" w:styleId="IntenseQuote">
    <w:name w:val="Intense Quote"/>
    <w:basedOn w:val="Normal"/>
    <w:next w:val="Normal"/>
    <w:link w:val="IntenseQuoteChar"/>
    <w:uiPriority w:val="30"/>
    <w:qFormat/>
    <w:rsid w:val="008E3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39B"/>
    <w:rPr>
      <w:i/>
      <w:iCs/>
      <w:color w:val="0F4761" w:themeColor="accent1" w:themeShade="BF"/>
    </w:rPr>
  </w:style>
  <w:style w:type="character" w:styleId="IntenseReference">
    <w:name w:val="Intense Reference"/>
    <w:basedOn w:val="DefaultParagraphFont"/>
    <w:uiPriority w:val="32"/>
    <w:qFormat/>
    <w:rsid w:val="008E339B"/>
    <w:rPr>
      <w:b/>
      <w:bCs/>
      <w:smallCaps/>
      <w:color w:val="0F4761" w:themeColor="accent1" w:themeShade="BF"/>
      <w:spacing w:val="5"/>
    </w:rPr>
  </w:style>
  <w:style w:type="paragraph" w:styleId="ListBullet">
    <w:name w:val="List Bullet"/>
    <w:basedOn w:val="Normal"/>
    <w:uiPriority w:val="99"/>
    <w:unhideWhenUsed/>
    <w:rsid w:val="008E339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1342</Words>
  <Characters>7655</Characters>
  <Application>Microsoft Office Word</Application>
  <DocSecurity>0</DocSecurity>
  <Lines>63</Lines>
  <Paragraphs>17</Paragraphs>
  <ScaleCrop>false</ScaleCrop>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2026-06-22T05:17:00Z</dcterms:created>
  <dcterms:modified xsi:type="dcterms:W3CDTF">2026-06-22T05:17:00Z</dcterms:modified>
</cp:coreProperties>
</file>